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02DB9" w:rsidRPr="00B266B0">
        <w:rPr>
          <w:noProof w:val="0"/>
          <w:sz w:val="24"/>
          <w:szCs w:val="24"/>
        </w:rPr>
        <w:t xml:space="preserve">Meeting </w:t>
      </w:r>
      <w:r w:rsidR="008F7FDA">
        <w:rPr>
          <w:noProof w:val="0"/>
          <w:sz w:val="24"/>
          <w:szCs w:val="24"/>
        </w:rPr>
        <w:t>#75</w:t>
      </w:r>
      <w:r w:rsidRPr="00B266B0">
        <w:rPr>
          <w:bCs/>
          <w:noProof w:val="0"/>
          <w:sz w:val="24"/>
          <w:szCs w:val="24"/>
        </w:rPr>
        <w:tab/>
      </w:r>
      <w:r w:rsidR="008F7FDA" w:rsidRPr="008F7FDA">
        <w:rPr>
          <w:bCs/>
          <w:noProof w:val="0"/>
          <w:sz w:val="24"/>
          <w:szCs w:val="24"/>
        </w:rPr>
        <w:t>RP-170491</w:t>
      </w:r>
    </w:p>
    <w:p w:rsidR="00CD4C7B" w:rsidRPr="00B266B0" w:rsidRDefault="008F7FDA" w:rsidP="00CD4C7B">
      <w:pPr>
        <w:pStyle w:val="Header"/>
        <w:tabs>
          <w:tab w:val="right" w:pos="9639"/>
        </w:tabs>
        <w:rPr>
          <w:bCs/>
          <w:noProof w:val="0"/>
          <w:sz w:val="24"/>
          <w:szCs w:val="24"/>
        </w:rPr>
      </w:pPr>
      <w:r>
        <w:rPr>
          <w:rFonts w:eastAsia="SimSun"/>
          <w:noProof w:val="0"/>
          <w:sz w:val="24"/>
          <w:szCs w:val="24"/>
          <w:lang w:eastAsia="zh-CN"/>
        </w:rPr>
        <w:t>Dubrovnik, Croatia, 6</w:t>
      </w:r>
      <w:r w:rsidR="00C92967">
        <w:rPr>
          <w:rFonts w:eastAsia="SimSun"/>
          <w:noProof w:val="0"/>
          <w:sz w:val="24"/>
          <w:szCs w:val="24"/>
          <w:lang w:eastAsia="zh-CN"/>
        </w:rPr>
        <w:t xml:space="preserve"> - </w:t>
      </w:r>
      <w:r>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March</w:t>
      </w:r>
      <w:r w:rsidR="00C92967">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7FDA">
        <w:rPr>
          <w:rFonts w:cs="Arial"/>
          <w:b/>
          <w:bCs/>
          <w:sz w:val="24"/>
        </w:rPr>
        <w:t>9</w:t>
      </w:r>
      <w:r w:rsidR="00CB3880">
        <w:rPr>
          <w:rFonts w:cs="Arial"/>
          <w:b/>
          <w:bCs/>
          <w:sz w:val="24"/>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Pr="008F7FDA"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8F7FDA" w:rsidRPr="008F7FDA">
        <w:rPr>
          <w:rFonts w:ascii="Arial" w:hAnsi="Arial" w:cs="Arial"/>
          <w:b/>
          <w:bCs/>
          <w:sz w:val="24"/>
        </w:rPr>
        <w:t>Two-step RRC ASN.1 fr</w:t>
      </w:r>
      <w:r w:rsidR="008F7FDA">
        <w:rPr>
          <w:rFonts w:ascii="Arial" w:hAnsi="Arial" w:cs="Arial"/>
          <w:b/>
          <w:bCs/>
          <w:sz w:val="24"/>
        </w:rPr>
        <w:t xml:space="preserve">eezing for Rel-15 5G New Radio </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D53E5">
        <w:rPr>
          <w:rFonts w:ascii="Arial" w:hAnsi="Arial" w:cs="Arial"/>
          <w:b/>
          <w:bCs/>
          <w:sz w:val="24"/>
        </w:rPr>
        <w:t>Approval</w:t>
      </w:r>
    </w:p>
    <w:p w:rsidR="00CD4C7B" w:rsidRPr="006E13D1" w:rsidRDefault="00CD4C7B" w:rsidP="00CD4C7B">
      <w:pPr>
        <w:pStyle w:val="Heading1"/>
      </w:pPr>
      <w:r w:rsidRPr="006E13D1">
        <w:t>1</w:t>
      </w:r>
      <w:r w:rsidRPr="006E13D1">
        <w:tab/>
      </w:r>
      <w:r w:rsidR="0056573F">
        <w:t>Introduction</w:t>
      </w:r>
    </w:p>
    <w:p w:rsidR="00ED53E5" w:rsidRDefault="00ED53E5" w:rsidP="00ED53E5">
      <w:r w:rsidRPr="003D6D94">
        <w:t>This contribution discusses the two-step RRC ASN.1 freezing for Rel-15 5G New Radio</w:t>
      </w:r>
      <w:r>
        <w:t xml:space="preserve"> </w:t>
      </w:r>
      <w:r w:rsidRPr="004D3D7A">
        <w:t>proposed in [1]</w:t>
      </w:r>
      <w:r>
        <w:t xml:space="preserve"> as follows;</w:t>
      </w:r>
    </w:p>
    <w:p w:rsidR="00ED53E5" w:rsidRDefault="00ED53E5" w:rsidP="00ED53E5">
      <w:pPr>
        <w:numPr>
          <w:ilvl w:val="0"/>
          <w:numId w:val="20"/>
        </w:numPr>
        <w:rPr>
          <w:lang w:val="en-US"/>
        </w:rPr>
      </w:pPr>
      <w:r w:rsidRPr="009E0E9A">
        <w:rPr>
          <w:lang w:val="en-US"/>
        </w:rPr>
        <w:t>By December 2017: complete Stage 3 for Non-Standalone 5G-NR with Option 3 &amp; By March 2018: freeze ASN.1 accordingly</w:t>
      </w:r>
    </w:p>
    <w:p w:rsidR="00ED53E5" w:rsidRPr="003D6D94" w:rsidRDefault="00ED53E5" w:rsidP="00ED53E5">
      <w:pPr>
        <w:numPr>
          <w:ilvl w:val="0"/>
          <w:numId w:val="20"/>
        </w:numPr>
        <w:rPr>
          <w:lang w:val="en-US"/>
        </w:rPr>
      </w:pPr>
      <w:r w:rsidRPr="009E0E9A">
        <w:rPr>
          <w:lang w:val="en-US"/>
        </w:rPr>
        <w:t>Maintain current schedule for Standalone 5G-NR in Rel-15</w:t>
      </w:r>
      <w:r>
        <w:rPr>
          <w:lang w:val="en-US"/>
        </w:rPr>
        <w:t xml:space="preserve">: </w:t>
      </w:r>
      <w:r w:rsidRPr="009E0E9A">
        <w:rPr>
          <w:lang w:val="en-US"/>
        </w:rPr>
        <w:t>Stage 3</w:t>
      </w:r>
      <w:r>
        <w:rPr>
          <w:lang w:val="en-US"/>
        </w:rPr>
        <w:t xml:space="preserve"> completion June 2018 &amp; </w:t>
      </w:r>
      <w:r w:rsidRPr="009E0E9A">
        <w:rPr>
          <w:lang w:val="en-US"/>
        </w:rPr>
        <w:t>ASN.1 freeze September 2018</w:t>
      </w:r>
    </w:p>
    <w:p w:rsidR="00ED53E5" w:rsidRDefault="00ED53E5" w:rsidP="00ED53E5">
      <w:r>
        <w:t xml:space="preserve">The document provides as an example different approaches for implementing the two-step RRC ASN.1 freezing and raises questions on what versions need to be maintained and how after two RRC ASN.1 freezing step. Based on the discussion the document proposes a way forward, which in our view minimizes divergence of specification development for Non-Standalone (NSA) and Standalone (SA) 5G. </w:t>
      </w:r>
    </w:p>
    <w:p w:rsidR="00BF6C9F" w:rsidRDefault="00ED53E5" w:rsidP="00CD4C7B">
      <w:r>
        <w:t xml:space="preserve">We see that it is important that RAN#75 </w:t>
      </w:r>
      <w:r w:rsidRPr="009877E0">
        <w:t>discusses and agrees high level princ</w:t>
      </w:r>
      <w:r w:rsidR="00C852AB">
        <w:t>i</w:t>
      </w:r>
      <w:r w:rsidRPr="009877E0">
        <w:t>ples for the two-step RRC ASN.1 freezing to ensure aligned approach and thus, smooth specification development and the maintenance of the frozen specifications (including frozen RRC ASN.1 versions) in RAN WGs.</w:t>
      </w:r>
    </w:p>
    <w:p w:rsidR="00CD4C7B" w:rsidRPr="006E13D1" w:rsidRDefault="00CD4C7B" w:rsidP="00CD4C7B">
      <w:pPr>
        <w:pStyle w:val="Heading1"/>
      </w:pPr>
      <w:r w:rsidRPr="006E13D1">
        <w:t>2</w:t>
      </w:r>
      <w:r w:rsidRPr="006E13D1">
        <w:tab/>
      </w:r>
      <w:r w:rsidR="00BF6C9F">
        <w:t>ASN.1 freezing for NR</w:t>
      </w:r>
      <w:r w:rsidRPr="006E13D1">
        <w:t xml:space="preserve"> </w:t>
      </w:r>
    </w:p>
    <w:p w:rsidR="00A65E27" w:rsidRPr="006E13D1" w:rsidRDefault="00A65E27" w:rsidP="00A65E27">
      <w:pPr>
        <w:pStyle w:val="Heading2"/>
      </w:pPr>
      <w:r>
        <w:t>2</w:t>
      </w:r>
      <w:r w:rsidRPr="006E13D1">
        <w:t>.1</w:t>
      </w:r>
      <w:r w:rsidRPr="006E13D1">
        <w:tab/>
      </w:r>
      <w:r w:rsidR="00BF6C9F">
        <w:t>Current ASN.1 freezing process</w:t>
      </w:r>
      <w:r>
        <w:t xml:space="preserve"> </w:t>
      </w:r>
    </w:p>
    <w:p w:rsidR="00097432" w:rsidRDefault="00097432" w:rsidP="00BF6C9F">
      <w:r>
        <w:t>From the beginning of LTE Rel-8, the ASN.1 freezing process has been assumed to follow these steps (where N = time of ASN.1 freeze):</w:t>
      </w:r>
    </w:p>
    <w:p w:rsidR="00097432" w:rsidRDefault="00097432" w:rsidP="00097432">
      <w:pPr>
        <w:pStyle w:val="ListParagraph"/>
        <w:numPr>
          <w:ilvl w:val="0"/>
          <w:numId w:val="17"/>
        </w:numPr>
      </w:pPr>
      <w:r>
        <w:t>N - 6 months: RAN1 provides the necessary input to RAN2 to start working on the ASN.1 aspects</w:t>
      </w:r>
    </w:p>
    <w:p w:rsidR="00097432" w:rsidRDefault="00097432" w:rsidP="00097432">
      <w:pPr>
        <w:pStyle w:val="ListParagraph"/>
        <w:numPr>
          <w:ilvl w:val="0"/>
          <w:numId w:val="17"/>
        </w:numPr>
      </w:pPr>
      <w:r>
        <w:t xml:space="preserve">N - 3 months: Stage-3 freeze, i.e. no new functionality </w:t>
      </w:r>
    </w:p>
    <w:p w:rsidR="007649B5" w:rsidRDefault="007649B5" w:rsidP="00097432">
      <w:pPr>
        <w:pStyle w:val="ListParagraph"/>
        <w:numPr>
          <w:ilvl w:val="0"/>
          <w:numId w:val="17"/>
        </w:numPr>
      </w:pPr>
      <w:r>
        <w:t xml:space="preserve">During the 3 months before ASN.1 freeze: ASN.1 review within RAN2 </w:t>
      </w:r>
    </w:p>
    <w:p w:rsidR="007649B5" w:rsidRDefault="007649B5" w:rsidP="00097432">
      <w:pPr>
        <w:pStyle w:val="ListParagraph"/>
        <w:numPr>
          <w:ilvl w:val="0"/>
          <w:numId w:val="17"/>
        </w:numPr>
      </w:pPr>
      <w:r>
        <w:t>Last RAN2 meeting before ASN.1 freeze: Endorse reviewed ASN.1 after all fixes are taken into account</w:t>
      </w:r>
    </w:p>
    <w:p w:rsidR="007649B5" w:rsidRDefault="007649B5" w:rsidP="00097432">
      <w:pPr>
        <w:pStyle w:val="ListParagraph"/>
        <w:numPr>
          <w:ilvl w:val="0"/>
          <w:numId w:val="17"/>
        </w:numPr>
      </w:pPr>
      <w:r>
        <w:t>RAN plenary where ASN.1 is to be frozen: Agree on the RRC CR</w:t>
      </w:r>
    </w:p>
    <w:p w:rsidR="007649B5" w:rsidRDefault="007649B5" w:rsidP="00BF6C9F">
      <w:r>
        <w:t>While the timeline ha</w:t>
      </w:r>
      <w:r w:rsidR="009D4EAC">
        <w:t>s</w:t>
      </w:r>
      <w:r>
        <w:t xml:space="preserve"> not always been followed </w:t>
      </w:r>
      <w:r w:rsidR="009D4EAC">
        <w:t xml:space="preserve">very strictly </w:t>
      </w:r>
      <w:r>
        <w:t xml:space="preserve">(e.g. Rel-13 was done </w:t>
      </w:r>
      <w:r w:rsidR="009D4EAC">
        <w:t xml:space="preserve">in a </w:t>
      </w:r>
      <w:r>
        <w:t>more rushed</w:t>
      </w:r>
      <w:r w:rsidR="009D4EAC">
        <w:t xml:space="preserve"> way</w:t>
      </w:r>
      <w:r>
        <w:t xml:space="preserve">, and RAN1 doesn’t always provide input to RAN2 before Stage-3 freeze), ideally </w:t>
      </w:r>
      <w:r w:rsidR="00BD5FBD">
        <w:t xml:space="preserve">the process works best with this timeline. The past releases have taught us that there will </w:t>
      </w:r>
      <w:r w:rsidR="00BD5FBD">
        <w:rPr>
          <w:b/>
        </w:rPr>
        <w:t>always</w:t>
      </w:r>
      <w:r w:rsidR="00BD5FBD">
        <w:t xml:space="preserve"> be corrections to the specification even after freezing, and the tight</w:t>
      </w:r>
      <w:r w:rsidR="00C852AB">
        <w:t>er</w:t>
      </w:r>
      <w:r w:rsidR="00BD5FBD">
        <w:t xml:space="preserve"> the timeline has been, the more corrections there tend to be.</w:t>
      </w:r>
      <w:r w:rsidR="00ED53E5">
        <w:t xml:space="preserve"> As the timeline for 5G NR is expected to be stringent, carefully planning of the work including RRC ASN.1 freezing and essential corrections will become even more important.</w:t>
      </w:r>
    </w:p>
    <w:p w:rsidR="00BD5FBD" w:rsidRDefault="00BD5FBD" w:rsidP="00BF6C9F">
      <w:r w:rsidRPr="00BD5FBD">
        <w:rPr>
          <w:b/>
        </w:rPr>
        <w:t>Observation 1:</w:t>
      </w:r>
      <w:r>
        <w:t xml:space="preserve"> The regular ASN.1 freezing process requires ~3 months to complete.</w:t>
      </w:r>
    </w:p>
    <w:p w:rsidR="00BD5FBD" w:rsidRDefault="00BD5FBD" w:rsidP="00BF6C9F">
      <w:r w:rsidRPr="00BD5FBD">
        <w:rPr>
          <w:b/>
        </w:rPr>
        <w:t>Observation 2:</w:t>
      </w:r>
      <w:r>
        <w:t xml:space="preserve"> Corrections are always required even after ASN.1 freezing.</w:t>
      </w:r>
    </w:p>
    <w:p w:rsidR="00A65E27" w:rsidRPr="006E13D1" w:rsidRDefault="00A65E27" w:rsidP="00A65E27">
      <w:pPr>
        <w:pStyle w:val="Heading2"/>
      </w:pPr>
      <w:r>
        <w:t>2</w:t>
      </w:r>
      <w:r w:rsidRPr="006E13D1">
        <w:t>.</w:t>
      </w:r>
      <w:r>
        <w:t>2</w:t>
      </w:r>
      <w:r w:rsidRPr="006E13D1">
        <w:tab/>
      </w:r>
      <w:r w:rsidR="00BF6C9F">
        <w:t>Step-wise ASN.1 freezing</w:t>
      </w:r>
      <w:r>
        <w:t xml:space="preserve"> </w:t>
      </w:r>
    </w:p>
    <w:p w:rsidR="00BD5FBD" w:rsidRDefault="00BD5FBD" w:rsidP="00A65E27">
      <w:r>
        <w:t xml:space="preserve">The proposal how to accomplish NR completion is included in the document </w:t>
      </w:r>
      <w:hyperlink r:id="rId11" w:tgtFrame="_blank" w:history="1">
        <w:r>
          <w:rPr>
            <w:rStyle w:val="Hyperlink"/>
          </w:rPr>
          <w:t>RP-170531</w:t>
        </w:r>
      </w:hyperlink>
      <w:r w:rsidR="00C852AB">
        <w:t xml:space="preserve"> </w:t>
      </w:r>
      <w:r w:rsidR="00C852AB">
        <w:rPr>
          <w:rStyle w:val="Hyperlink"/>
        </w:rPr>
        <w:t>[1]</w:t>
      </w:r>
      <w:r>
        <w:t xml:space="preserve">, with the proposal to have two steps for the NR Rel-15 completion: First, the NSA-only versions of specifications are frozen in March 2018, and then the full NSA+SA specifications are frozen in September 2018. </w:t>
      </w:r>
    </w:p>
    <w:p w:rsidR="00BD5FBD" w:rsidRDefault="00BD5FBD" w:rsidP="00A65E27">
      <w:r>
        <w:lastRenderedPageBreak/>
        <w:t>However, this naturally requires some consideration for ASN.1 freeze as well: Since there would be two separate freezes for specifications within one release, at least the following have to be thought out when agreeing to the proposal:</w:t>
      </w:r>
    </w:p>
    <w:p w:rsidR="009F52EB" w:rsidRPr="007E0741" w:rsidRDefault="00BD5FBD" w:rsidP="00BD5FBD">
      <w:pPr>
        <w:pStyle w:val="ListParagraph"/>
        <w:numPr>
          <w:ilvl w:val="0"/>
          <w:numId w:val="18"/>
        </w:numPr>
        <w:rPr>
          <w:lang w:val="en-US"/>
        </w:rPr>
      </w:pPr>
      <w:r>
        <w:rPr>
          <w:lang w:val="en-US"/>
        </w:rPr>
        <w:t xml:space="preserve">How are the specifications </w:t>
      </w:r>
      <w:r w:rsidR="00A03AD3" w:rsidRPr="00BD5FBD">
        <w:rPr>
          <w:lang w:val="en-US"/>
        </w:rPr>
        <w:t xml:space="preserve">frozen </w:t>
      </w:r>
      <w:r>
        <w:rPr>
          <w:lang w:val="en-US"/>
        </w:rPr>
        <w:t xml:space="preserve">in March 2018 maintained? </w:t>
      </w:r>
    </w:p>
    <w:p w:rsidR="009F52EB" w:rsidRPr="007E0741" w:rsidRDefault="00A03AD3" w:rsidP="00BD5FBD">
      <w:pPr>
        <w:pStyle w:val="ListParagraph"/>
        <w:numPr>
          <w:ilvl w:val="0"/>
          <w:numId w:val="18"/>
        </w:numPr>
        <w:rPr>
          <w:lang w:val="en-US"/>
        </w:rPr>
      </w:pPr>
      <w:r w:rsidRPr="00BD5FBD">
        <w:rPr>
          <w:lang w:val="en-US"/>
        </w:rPr>
        <w:t xml:space="preserve">How </w:t>
      </w:r>
      <w:r w:rsidR="00BD5FBD">
        <w:rPr>
          <w:lang w:val="en-US"/>
        </w:rPr>
        <w:t xml:space="preserve">are the </w:t>
      </w:r>
      <w:r w:rsidRPr="00BD5FBD">
        <w:rPr>
          <w:lang w:val="en-US"/>
        </w:rPr>
        <w:t xml:space="preserve">essential corrections </w:t>
      </w:r>
      <w:r w:rsidR="00BD5FBD">
        <w:rPr>
          <w:lang w:val="en-US"/>
        </w:rPr>
        <w:t xml:space="preserve">to the March 2018 </w:t>
      </w:r>
      <w:r w:rsidRPr="00BD5FBD">
        <w:rPr>
          <w:lang w:val="en-US"/>
        </w:rPr>
        <w:t>treated?</w:t>
      </w:r>
    </w:p>
    <w:p w:rsidR="009F52EB" w:rsidRPr="007E0741" w:rsidRDefault="00A03AD3" w:rsidP="00BD5FBD">
      <w:pPr>
        <w:pStyle w:val="ListParagraph"/>
        <w:numPr>
          <w:ilvl w:val="0"/>
          <w:numId w:val="18"/>
        </w:numPr>
        <w:rPr>
          <w:lang w:val="en-US"/>
        </w:rPr>
      </w:pPr>
      <w:r w:rsidRPr="00BD5FBD">
        <w:rPr>
          <w:lang w:val="en-US"/>
        </w:rPr>
        <w:t xml:space="preserve">How does the September freeze relate to the March freeze? </w:t>
      </w:r>
    </w:p>
    <w:p w:rsidR="00BD5FBD" w:rsidRDefault="00BD5FBD" w:rsidP="007E0741">
      <w:pPr>
        <w:pStyle w:val="ListParagraph"/>
        <w:numPr>
          <w:ilvl w:val="0"/>
          <w:numId w:val="18"/>
        </w:numPr>
      </w:pPr>
      <w:r>
        <w:t>Is the September RRC specification backward-compatible with the March version?</w:t>
      </w:r>
    </w:p>
    <w:p w:rsidR="009B2080" w:rsidRDefault="00BD5FBD" w:rsidP="00A65E27">
      <w:r w:rsidRPr="007E0741">
        <w:rPr>
          <w:b/>
        </w:rPr>
        <w:t>Observation 3:</w:t>
      </w:r>
      <w:r>
        <w:t xml:space="preserve"> If the two-step RRC freezing is done, RAN needs to discuss and decide on how to maintain the March 2018 specifications.</w:t>
      </w:r>
    </w:p>
    <w:p w:rsidR="009B2080" w:rsidRDefault="009B2080" w:rsidP="00A65E27">
      <w:r>
        <w:t>Since the two-step freezing is done to accelerate the 5G implementations, it is understandable that there would be two different kinds of UEs: Those implemented according to March</w:t>
      </w:r>
      <w:r w:rsidR="009D4EAC">
        <w:t xml:space="preserve"> 2018</w:t>
      </w:r>
      <w:r>
        <w:t xml:space="preserve"> specifications (early UEs), and those implemented according to September </w:t>
      </w:r>
      <w:r w:rsidR="009D4EAC">
        <w:t xml:space="preserve">2018 </w:t>
      </w:r>
      <w:r>
        <w:t xml:space="preserve">specifications (final Rel-15 UEs). To avoid market </w:t>
      </w:r>
      <w:r w:rsidR="00C852AB">
        <w:t xml:space="preserve">and specification </w:t>
      </w:r>
      <w:r>
        <w:t>fragmentation, it would be desirable to avoid having to evolve both versions, so most UEs should be implemented using the full Rel-15 specifications (regardless of whether they support both NSA-only version of NR, SA-only version of NR or both).</w:t>
      </w:r>
      <w:r w:rsidR="00C852AB">
        <w:t xml:space="preserve"> This approach could be feasible especially if the number of devices implemented according to the March 2018 specifications is rather limited.</w:t>
      </w:r>
    </w:p>
    <w:p w:rsidR="009B2080" w:rsidRDefault="009B2080" w:rsidP="00A65E27">
      <w:r w:rsidRPr="007E0741">
        <w:rPr>
          <w:b/>
        </w:rPr>
        <w:t xml:space="preserve">Proposal 1: </w:t>
      </w:r>
      <w:r>
        <w:t>NSA-only UEs may be implemented using the March 2018 specifications</w:t>
      </w:r>
      <w:r w:rsidR="00427F7E">
        <w:t xml:space="preserve"> until September 2018</w:t>
      </w:r>
      <w:r>
        <w:t>.</w:t>
      </w:r>
    </w:p>
    <w:p w:rsidR="009B2080" w:rsidRDefault="009B2080" w:rsidP="00A65E27">
      <w:r w:rsidRPr="007E0741">
        <w:rPr>
          <w:b/>
        </w:rPr>
        <w:t>Proposal 2:</w:t>
      </w:r>
      <w:r>
        <w:t xml:space="preserve"> All UE implementations after September 2018 shall be implemented using the September 2018 specifications.</w:t>
      </w:r>
    </w:p>
    <w:p w:rsidR="00BF6C9F" w:rsidRDefault="009B2080" w:rsidP="00A65E27">
      <w:r>
        <w:t xml:space="preserve">For the ASN.1 freezing, there are also several technical realizations; these are </w:t>
      </w:r>
      <w:r w:rsidR="009D4EAC">
        <w:t xml:space="preserve">discussed </w:t>
      </w:r>
      <w:r>
        <w:t>in the next chapter</w:t>
      </w:r>
      <w:r w:rsidR="009D4EAC">
        <w:t xml:space="preserve"> to illustrate the aspects that require further work in RAN2 during the NR work item phase</w:t>
      </w:r>
      <w:r>
        <w:t>.</w:t>
      </w:r>
    </w:p>
    <w:p w:rsidR="00CD4C7B" w:rsidRDefault="00CD4C7B" w:rsidP="00CD4C7B">
      <w:pPr>
        <w:pStyle w:val="Heading1"/>
      </w:pPr>
      <w:r w:rsidRPr="006E13D1">
        <w:t>3</w:t>
      </w:r>
      <w:r w:rsidRPr="006E13D1">
        <w:tab/>
      </w:r>
      <w:r w:rsidR="00BF6C9F">
        <w:t>Possible options for two-step ASN.1 freezing</w:t>
      </w:r>
    </w:p>
    <w:p w:rsidR="009B2080" w:rsidRPr="006E13D1" w:rsidRDefault="009B2080" w:rsidP="009B2080">
      <w:pPr>
        <w:pStyle w:val="Heading2"/>
      </w:pPr>
      <w:r w:rsidRPr="006E13D1">
        <w:t>3.1</w:t>
      </w:r>
      <w:r w:rsidRPr="006E13D1">
        <w:tab/>
      </w:r>
      <w:r>
        <w:t>Current RAN2 agreements on NR RRC</w:t>
      </w:r>
    </w:p>
    <w:p w:rsidR="00537844" w:rsidRDefault="009B2080" w:rsidP="007E0741">
      <w:r>
        <w:t xml:space="preserve">RAN2 has already been discussing the high-level principles of NR RRC (see </w:t>
      </w:r>
      <w:hyperlink r:id="rId12" w:history="1">
        <w:r w:rsidRPr="009B2080">
          <w:rPr>
            <w:rStyle w:val="Hyperlink"/>
          </w:rPr>
          <w:t>R2-1700825</w:t>
        </w:r>
      </w:hyperlink>
      <w:r>
        <w:t>), and has decided that a new specification (</w:t>
      </w:r>
      <w:r w:rsidR="009D4EAC">
        <w:t>which has been assumed to be</w:t>
      </w:r>
      <w:r>
        <w:t xml:space="preserve"> TS38.331) will be created for the NR RRC. </w:t>
      </w:r>
    </w:p>
    <w:p w:rsidR="009B2080" w:rsidRDefault="009B2080" w:rsidP="007E0741">
      <w:r w:rsidRPr="007E0741">
        <w:rPr>
          <w:b/>
        </w:rPr>
        <w:t>Observation 4:</w:t>
      </w:r>
      <w:r>
        <w:t xml:space="preserve"> A new specification TS38.331 will be created for NR RRC.</w:t>
      </w:r>
    </w:p>
    <w:p w:rsidR="00537844" w:rsidRDefault="00537844" w:rsidP="00537844">
      <w:r>
        <w:t xml:space="preserve">The discussion </w:t>
      </w:r>
      <w:r w:rsidR="009D4EAC">
        <w:t xml:space="preserve">on specifics of the NR RRC principles </w:t>
      </w:r>
      <w:r>
        <w:t xml:space="preserve">is still ongoing, so to allow RAN2 sufficient time to discuss the specifics, RAN should provide the </w:t>
      </w:r>
      <w:r w:rsidR="009D4EAC">
        <w:t xml:space="preserve">high-level </w:t>
      </w:r>
      <w:r>
        <w:t>guidelines on RRC freezing to allow RAN2 to consider the technical details</w:t>
      </w:r>
      <w:r w:rsidR="009D4EAC">
        <w:t xml:space="preserve"> as early as possible</w:t>
      </w:r>
      <w:r>
        <w:t xml:space="preserve">. </w:t>
      </w:r>
    </w:p>
    <w:p w:rsidR="00E0666C" w:rsidRDefault="00E0666C" w:rsidP="00537844">
      <w:r w:rsidRPr="00C10878">
        <w:rPr>
          <w:b/>
        </w:rPr>
        <w:t>Proposal 3:</w:t>
      </w:r>
      <w:r>
        <w:t xml:space="preserve"> RAN to provide </w:t>
      </w:r>
      <w:r w:rsidR="00C852AB">
        <w:t xml:space="preserve">high-level </w:t>
      </w:r>
      <w:r>
        <w:t>guidance to RAN2 on how the two-step ASN.1 freezing should be done.</w:t>
      </w:r>
    </w:p>
    <w:p w:rsidR="009D4EAC" w:rsidRDefault="009D4EAC" w:rsidP="00537844">
      <w:r>
        <w:t>In the following sections, we consider the two basic options for doing the two-step ASN.1 freeze: Using separate specification, or using a common specification.</w:t>
      </w:r>
    </w:p>
    <w:p w:rsidR="00CD4C7B" w:rsidRPr="006E13D1" w:rsidRDefault="00CD4C7B" w:rsidP="00CD4C7B">
      <w:pPr>
        <w:pStyle w:val="Heading2"/>
      </w:pPr>
      <w:r w:rsidRPr="006E13D1">
        <w:t>3.</w:t>
      </w:r>
      <w:r w:rsidR="009B2080">
        <w:t>2</w:t>
      </w:r>
      <w:r w:rsidRPr="006E13D1">
        <w:tab/>
      </w:r>
      <w:r w:rsidR="00BF6C9F">
        <w:t>Option A: Separate specifications</w:t>
      </w:r>
    </w:p>
    <w:p w:rsidR="00537844" w:rsidRDefault="009B2080" w:rsidP="00647E69">
      <w:r>
        <w:t>Since the ASN.1 needs to be frozen in two steps, a simple option would be to simply create two specifications</w:t>
      </w:r>
      <w:r w:rsidR="00537844">
        <w:t xml:space="preserve">, e.g. </w:t>
      </w:r>
      <w:r>
        <w:t>TS38.330 for NSA-only RRC frozen in March 2018, and TS38.331 for RRC frozen in September</w:t>
      </w:r>
      <w:r w:rsidR="00537844">
        <w:t>. This is depicted with a simplified picture in Figure 1 below.</w:t>
      </w:r>
    </w:p>
    <w:p w:rsidR="00537844" w:rsidRDefault="00537844" w:rsidP="007E0741">
      <w:pPr>
        <w:jc w:val="center"/>
      </w:pPr>
      <w:r>
        <w:rPr>
          <w:noProof/>
          <w:lang w:val="fi-FI" w:eastAsia="ja-JP"/>
        </w:rPr>
        <w:lastRenderedPageBreak/>
        <w:drawing>
          <wp:inline distT="0" distB="0" distL="0" distR="0" wp14:anchorId="7D01DF8D">
            <wp:extent cx="5596890" cy="23291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6890" cy="2329180"/>
                    </a:xfrm>
                    <a:prstGeom prst="rect">
                      <a:avLst/>
                    </a:prstGeom>
                    <a:noFill/>
                  </pic:spPr>
                </pic:pic>
              </a:graphicData>
            </a:graphic>
          </wp:inline>
        </w:drawing>
      </w:r>
    </w:p>
    <w:p w:rsidR="00537844" w:rsidRPr="007E0741" w:rsidRDefault="00537844" w:rsidP="007E0741">
      <w:pPr>
        <w:pStyle w:val="Caption"/>
        <w:jc w:val="center"/>
        <w:rPr>
          <w:b/>
          <w:i w:val="0"/>
          <w:color w:val="000000" w:themeColor="text1"/>
          <w:sz w:val="20"/>
        </w:rPr>
      </w:pPr>
      <w:r w:rsidRPr="007E0741">
        <w:rPr>
          <w:b/>
          <w:i w:val="0"/>
          <w:color w:val="000000" w:themeColor="text1"/>
          <w:sz w:val="20"/>
        </w:rPr>
        <w:t xml:space="preserve">Figure </w:t>
      </w:r>
      <w:r w:rsidRPr="007E0741">
        <w:rPr>
          <w:b/>
          <w:i w:val="0"/>
          <w:color w:val="000000" w:themeColor="text1"/>
          <w:sz w:val="20"/>
        </w:rPr>
        <w:fldChar w:fldCharType="begin"/>
      </w:r>
      <w:r w:rsidRPr="007E0741">
        <w:rPr>
          <w:b/>
          <w:i w:val="0"/>
          <w:color w:val="000000" w:themeColor="text1"/>
          <w:sz w:val="20"/>
        </w:rPr>
        <w:instrText xml:space="preserve"> SEQ Figure \* ARABIC </w:instrText>
      </w:r>
      <w:r w:rsidRPr="007E0741">
        <w:rPr>
          <w:b/>
          <w:i w:val="0"/>
          <w:color w:val="000000" w:themeColor="text1"/>
          <w:sz w:val="20"/>
        </w:rPr>
        <w:fldChar w:fldCharType="separate"/>
      </w:r>
      <w:r w:rsidR="0002321E">
        <w:rPr>
          <w:b/>
          <w:i w:val="0"/>
          <w:noProof/>
          <w:color w:val="000000" w:themeColor="text1"/>
          <w:sz w:val="20"/>
        </w:rPr>
        <w:t>1</w:t>
      </w:r>
      <w:r w:rsidRPr="007E0741">
        <w:rPr>
          <w:b/>
          <w:i w:val="0"/>
          <w:color w:val="000000" w:themeColor="text1"/>
          <w:sz w:val="20"/>
        </w:rPr>
        <w:fldChar w:fldCharType="end"/>
      </w:r>
      <w:r w:rsidRPr="007E0741">
        <w:rPr>
          <w:b/>
          <w:i w:val="0"/>
          <w:color w:val="000000" w:themeColor="text1"/>
          <w:sz w:val="20"/>
        </w:rPr>
        <w:t>. Two-step ASN.1 freeze with Option A</w:t>
      </w:r>
    </w:p>
    <w:p w:rsidR="00537844" w:rsidRDefault="00537844" w:rsidP="00647E69"/>
    <w:p w:rsidR="00BF6C9F" w:rsidRDefault="00537844" w:rsidP="00647E69">
      <w:r>
        <w:t xml:space="preserve">In practice, </w:t>
      </w:r>
      <w:r w:rsidR="009D4EAC">
        <w:t xml:space="preserve">the procedure for the two-step freezing </w:t>
      </w:r>
      <w:r>
        <w:t>could be done as follows</w:t>
      </w:r>
      <w:r w:rsidR="009D4EAC">
        <w:t xml:space="preserve"> with this option</w:t>
      </w:r>
      <w:r>
        <w:t>:</w:t>
      </w:r>
    </w:p>
    <w:p w:rsidR="00537844" w:rsidRDefault="00537844" w:rsidP="00C10878">
      <w:pPr>
        <w:ind w:left="284"/>
      </w:pPr>
      <w:r>
        <w:t>1.</w:t>
      </w:r>
      <w:r>
        <w:tab/>
        <w:t>RAN2 starts working on TS38.331 immediately once the NR WID begins.</w:t>
      </w:r>
    </w:p>
    <w:p w:rsidR="00537844" w:rsidRDefault="00537844" w:rsidP="00C10878">
      <w:pPr>
        <w:ind w:left="284"/>
      </w:pPr>
      <w:r>
        <w:t>2.</w:t>
      </w:r>
      <w:r>
        <w:tab/>
        <w:t>RAN2 does the ASN.1 review for the March 2018 version based on TS38.331 status at the time.</w:t>
      </w:r>
    </w:p>
    <w:p w:rsidR="00537844" w:rsidRDefault="00537844" w:rsidP="00C10878">
      <w:pPr>
        <w:ind w:left="284"/>
      </w:pPr>
      <w:r>
        <w:t>3.</w:t>
      </w:r>
      <w:r>
        <w:tab/>
        <w:t xml:space="preserve">When ASN.1 is frozen in March 2018, TS38.330 </w:t>
      </w:r>
      <w:r w:rsidR="00C852AB">
        <w:t xml:space="preserve">(number chosen as example) </w:t>
      </w:r>
      <w:r>
        <w:t xml:space="preserve">is created </w:t>
      </w:r>
      <w:r>
        <w:rPr>
          <w:b/>
        </w:rPr>
        <w:t>based on</w:t>
      </w:r>
      <w:r>
        <w:t xml:space="preserve"> the reviewed version of TS38.331, and the TS38.330 is declared frozen (with the intent that it should only receive backward-compatible CRs).</w:t>
      </w:r>
    </w:p>
    <w:p w:rsidR="00537844" w:rsidRDefault="00537844" w:rsidP="00C10878">
      <w:pPr>
        <w:ind w:left="284"/>
      </w:pPr>
      <w:r>
        <w:t>4.</w:t>
      </w:r>
      <w:r>
        <w:tab/>
        <w:t>RAN2 works on TS38.331 before September 2018, the specification is still considered unfrozen and even non-backward-compatible changes many occur if seen necessary (however, to retain as much compatibility with TS38.330, they should be avoided).</w:t>
      </w:r>
    </w:p>
    <w:p w:rsidR="00537844" w:rsidRDefault="00537844" w:rsidP="00C10878">
      <w:pPr>
        <w:ind w:left="284"/>
      </w:pPr>
      <w:r>
        <w:t>5.</w:t>
      </w:r>
      <w:r>
        <w:tab/>
        <w:t xml:space="preserve">When ASN.1 is frozen in September 2018, TS38.331 is frozen normally </w:t>
      </w:r>
      <w:r>
        <w:rPr>
          <w:b/>
        </w:rPr>
        <w:t>and</w:t>
      </w:r>
      <w:r>
        <w:t xml:space="preserve"> the TS38.330 is </w:t>
      </w:r>
      <w:r w:rsidRPr="007E0741">
        <w:rPr>
          <w:b/>
        </w:rPr>
        <w:t>closed</w:t>
      </w:r>
      <w:r>
        <w:t xml:space="preserve">, i.e. it shall receive no further CRs, as specified in </w:t>
      </w:r>
      <w:hyperlink r:id="rId14" w:history="1">
        <w:r w:rsidRPr="00537844">
          <w:rPr>
            <w:rStyle w:val="Hyperlink"/>
          </w:rPr>
          <w:t>T</w:t>
        </w:r>
        <w:r w:rsidR="007E0741">
          <w:rPr>
            <w:rStyle w:val="Hyperlink"/>
          </w:rPr>
          <w:t>R</w:t>
        </w:r>
        <w:r w:rsidRPr="00537844">
          <w:rPr>
            <w:rStyle w:val="Hyperlink"/>
          </w:rPr>
          <w:t>21.900</w:t>
        </w:r>
      </w:hyperlink>
      <w:r w:rsidR="009D4EAC">
        <w:t xml:space="preserve"> section 4.8</w:t>
      </w:r>
      <w:r>
        <w:t>.</w:t>
      </w:r>
    </w:p>
    <w:p w:rsidR="00A52F07" w:rsidRDefault="00A52F07" w:rsidP="00C10878">
      <w:pPr>
        <w:ind w:left="284"/>
      </w:pPr>
      <w:r>
        <w:t>6.</w:t>
      </w:r>
      <w:r>
        <w:tab/>
        <w:t>TS38.331 is maintained and updated normally as the NR work for Rel-16 progresses (but TS38.330 is never updated again since it’s a closed specification).</w:t>
      </w:r>
    </w:p>
    <w:p w:rsidR="00A52F07" w:rsidRDefault="00A52F07" w:rsidP="00647E69">
      <w:r>
        <w:t>The benefits of this approach are that the eventual TS38.331 would bear no trace of the “early freeze”, with the only remnant being the TS38.330. However, it should be noted very clearly that any UE implemented after September 2018 should only use the TS38.331 and not TS38.330, i.e. the window for early UEs should close once the full Rel-15 specifications are approved.</w:t>
      </w:r>
      <w:r w:rsidR="009D4EAC">
        <w:t xml:space="preserve"> Also, two specifications would have to be maintained in parallel, and CRs to TS38.330 would also need to be reflected in TS38.331, which would create another source of potential errors for the time the TS38.330 would be maintained.</w:t>
      </w:r>
    </w:p>
    <w:p w:rsidR="006D4253" w:rsidRPr="007E0741" w:rsidRDefault="006D4253" w:rsidP="006D4253">
      <w:r w:rsidRPr="00C10878">
        <w:rPr>
          <w:b/>
        </w:rPr>
        <w:t xml:space="preserve">Observation </w:t>
      </w:r>
      <w:r>
        <w:rPr>
          <w:b/>
        </w:rPr>
        <w:t>5</w:t>
      </w:r>
      <w:r w:rsidRPr="00C10878">
        <w:rPr>
          <w:b/>
        </w:rPr>
        <w:t>:</w:t>
      </w:r>
      <w:r>
        <w:t xml:space="preserve"> Option A allows the early step to stay invisible to the final RRC specification, but requires maintenance of two (almost parallel) specifications at the same time.</w:t>
      </w:r>
    </w:p>
    <w:p w:rsidR="00A52F07" w:rsidRDefault="006D4253" w:rsidP="00647E69">
      <w:r w:rsidRPr="00C852AB">
        <w:rPr>
          <w:b/>
        </w:rPr>
        <w:t>Observation 6</w:t>
      </w:r>
      <w:r w:rsidR="00A52F07" w:rsidRPr="00C10878">
        <w:rPr>
          <w:b/>
        </w:rPr>
        <w:t>:</w:t>
      </w:r>
      <w:r w:rsidR="00A52F07">
        <w:t xml:space="preserve"> Option A requires 3GPP to clearly indicate that all UEs implemented after September 2018 shall not use TS38.330.</w:t>
      </w:r>
    </w:p>
    <w:p w:rsidR="00E02F06" w:rsidRPr="006E13D1" w:rsidRDefault="00E02F06" w:rsidP="00E02F06">
      <w:pPr>
        <w:pStyle w:val="Heading2"/>
      </w:pPr>
      <w:r w:rsidRPr="006E13D1">
        <w:t>3.</w:t>
      </w:r>
      <w:r w:rsidR="009B2080">
        <w:t>3</w:t>
      </w:r>
      <w:r w:rsidRPr="006E13D1">
        <w:tab/>
      </w:r>
      <w:r w:rsidR="00BF6C9F">
        <w:t>Option B: Common specification</w:t>
      </w:r>
    </w:p>
    <w:p w:rsidR="00A52F07" w:rsidRDefault="00A52F07" w:rsidP="00E02F06">
      <w:r>
        <w:t>Another option is to follow the more well-known option of having both freezes in the same specification: This was already done for LTE Rel-13 with LTE and NB-IoT parts. Figure 2 below shows a simplified picture of this.</w:t>
      </w:r>
    </w:p>
    <w:p w:rsidR="00A52F07" w:rsidRDefault="00A52F07" w:rsidP="00E02F06"/>
    <w:p w:rsidR="00537844" w:rsidRDefault="00A52F07" w:rsidP="00C10878">
      <w:pPr>
        <w:jc w:val="center"/>
      </w:pPr>
      <w:r>
        <w:rPr>
          <w:noProof/>
          <w:lang w:val="fi-FI" w:eastAsia="ja-JP"/>
        </w:rPr>
        <w:lastRenderedPageBreak/>
        <w:drawing>
          <wp:inline distT="0" distB="0" distL="0" distR="0" wp14:anchorId="73B671C9">
            <wp:extent cx="4456430" cy="3157855"/>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6430" cy="3157855"/>
                    </a:xfrm>
                    <a:prstGeom prst="rect">
                      <a:avLst/>
                    </a:prstGeom>
                    <a:noFill/>
                  </pic:spPr>
                </pic:pic>
              </a:graphicData>
            </a:graphic>
          </wp:inline>
        </w:drawing>
      </w:r>
    </w:p>
    <w:p w:rsidR="00537844" w:rsidRPr="003D6D94" w:rsidRDefault="00537844" w:rsidP="00C10878">
      <w:pPr>
        <w:pStyle w:val="Caption"/>
        <w:jc w:val="center"/>
        <w:rPr>
          <w:b/>
          <w:i w:val="0"/>
          <w:color w:val="000000" w:themeColor="text1"/>
          <w:sz w:val="20"/>
        </w:rPr>
      </w:pPr>
      <w:r w:rsidRPr="003D6D94">
        <w:rPr>
          <w:b/>
          <w:i w:val="0"/>
          <w:color w:val="000000" w:themeColor="text1"/>
          <w:sz w:val="20"/>
        </w:rPr>
        <w:t xml:space="preserve">Figure </w:t>
      </w:r>
      <w:r w:rsidRPr="003D6D94">
        <w:rPr>
          <w:b/>
          <w:i w:val="0"/>
          <w:color w:val="000000" w:themeColor="text1"/>
          <w:sz w:val="20"/>
        </w:rPr>
        <w:fldChar w:fldCharType="begin"/>
      </w:r>
      <w:r w:rsidRPr="003D6D94">
        <w:rPr>
          <w:b/>
          <w:i w:val="0"/>
          <w:color w:val="000000" w:themeColor="text1"/>
          <w:sz w:val="20"/>
        </w:rPr>
        <w:instrText xml:space="preserve"> SEQ Figure \* ARABIC </w:instrText>
      </w:r>
      <w:r w:rsidRPr="003D6D94">
        <w:rPr>
          <w:b/>
          <w:i w:val="0"/>
          <w:color w:val="000000" w:themeColor="text1"/>
          <w:sz w:val="20"/>
        </w:rPr>
        <w:fldChar w:fldCharType="separate"/>
      </w:r>
      <w:r w:rsidR="0002321E">
        <w:rPr>
          <w:b/>
          <w:i w:val="0"/>
          <w:noProof/>
          <w:color w:val="000000" w:themeColor="text1"/>
          <w:sz w:val="20"/>
        </w:rPr>
        <w:t>2</w:t>
      </w:r>
      <w:r w:rsidRPr="003D6D94">
        <w:rPr>
          <w:b/>
          <w:i w:val="0"/>
          <w:color w:val="000000" w:themeColor="text1"/>
          <w:sz w:val="20"/>
        </w:rPr>
        <w:fldChar w:fldCharType="end"/>
      </w:r>
      <w:r w:rsidRPr="003D6D94">
        <w:rPr>
          <w:b/>
          <w:i w:val="0"/>
          <w:color w:val="000000" w:themeColor="text1"/>
          <w:sz w:val="20"/>
        </w:rPr>
        <w:t xml:space="preserve">. Two-step ASN.1 freeze with Option </w:t>
      </w:r>
      <w:r w:rsidR="00A52F07">
        <w:rPr>
          <w:b/>
          <w:i w:val="0"/>
          <w:color w:val="000000" w:themeColor="text1"/>
          <w:sz w:val="20"/>
        </w:rPr>
        <w:t>B</w:t>
      </w:r>
    </w:p>
    <w:p w:rsidR="0002321E" w:rsidRDefault="0002321E" w:rsidP="00A52F07">
      <w:r>
        <w:t>Compared to Option A, the procedure for this would go along more familiar lines to 3GPP community:</w:t>
      </w:r>
    </w:p>
    <w:p w:rsidR="0002321E" w:rsidRDefault="0002321E" w:rsidP="0002321E">
      <w:pPr>
        <w:ind w:left="284"/>
      </w:pPr>
      <w:r>
        <w:t>1.</w:t>
      </w:r>
      <w:r>
        <w:tab/>
        <w:t>RAN2 starts working on TS38.331 immediately once the NR WID begins.</w:t>
      </w:r>
    </w:p>
    <w:p w:rsidR="0002321E" w:rsidRDefault="0002321E" w:rsidP="0002321E">
      <w:pPr>
        <w:ind w:left="284"/>
      </w:pPr>
      <w:r>
        <w:t>2.</w:t>
      </w:r>
      <w:r>
        <w:tab/>
        <w:t>RAN2 does the ASN.1 review for the March 2018 version based on TS38.331 status at the time.</w:t>
      </w:r>
    </w:p>
    <w:p w:rsidR="0002321E" w:rsidRDefault="0002321E" w:rsidP="0002321E">
      <w:pPr>
        <w:ind w:left="284"/>
      </w:pPr>
      <w:r>
        <w:t>3.</w:t>
      </w:r>
      <w:r>
        <w:tab/>
        <w:t xml:space="preserve">When ASN.1 is frozen in March 2018, NSA-only part of TS38.331 is </w:t>
      </w:r>
      <w:r w:rsidRPr="00C10878">
        <w:rPr>
          <w:b/>
        </w:rPr>
        <w:t>tagged</w:t>
      </w:r>
      <w:r>
        <w:t xml:space="preserve"> </w:t>
      </w:r>
      <w:r w:rsidRPr="00C10878">
        <w:t>based on</w:t>
      </w:r>
      <w:r>
        <w:t xml:space="preserve"> the reviewed version of TS38.331, and declared frozen (with the intent that it should only receive backward-compatible CRs). </w:t>
      </w:r>
    </w:p>
    <w:p w:rsidR="0002321E" w:rsidRDefault="0002321E" w:rsidP="0002321E">
      <w:pPr>
        <w:ind w:left="284"/>
      </w:pPr>
      <w:r>
        <w:t>4.</w:t>
      </w:r>
      <w:r>
        <w:tab/>
        <w:t xml:space="preserve">RAN2 works on TS38.331 before September 2018 for both NSA and SA parts. SA parts are not frozen, and even non-backward-compatible changes many occur if seen necessary. </w:t>
      </w:r>
    </w:p>
    <w:p w:rsidR="0002321E" w:rsidRDefault="0002321E" w:rsidP="0002321E">
      <w:pPr>
        <w:ind w:left="284"/>
      </w:pPr>
      <w:r>
        <w:t>5.</w:t>
      </w:r>
      <w:r>
        <w:tab/>
        <w:t>When ASN.1 is frozen in September 2018, TS38.331 is frozen normally and tagged with the Rel-15 AS release (just like in LTE).</w:t>
      </w:r>
    </w:p>
    <w:p w:rsidR="0002321E" w:rsidRDefault="0002321E" w:rsidP="00C10878">
      <w:pPr>
        <w:ind w:left="284"/>
      </w:pPr>
      <w:r>
        <w:t>6.</w:t>
      </w:r>
      <w:r>
        <w:tab/>
        <w:t>TS38.331 is maintained and updated normally as the NR work for Rel-16 progresses.</w:t>
      </w:r>
    </w:p>
    <w:p w:rsidR="00A52F07" w:rsidRDefault="00A52F07" w:rsidP="00A52F07">
      <w:r>
        <w:t>However, this immediately raises questions on how this would be handled</w:t>
      </w:r>
      <w:r w:rsidR="0002321E">
        <w:t xml:space="preserve"> in practice</w:t>
      </w:r>
      <w:r>
        <w:t xml:space="preserve">, since LTE and NB-IoT were done with different modules but were otherwise mostly orthogonal since their PHY design was quite different. For the case of NR, the PHY design would be unified (with some changes possible between the two versions), so it is not clear whether such modular approach would work well. </w:t>
      </w:r>
      <w:r w:rsidR="0002321E">
        <w:t>O</w:t>
      </w:r>
      <w:r>
        <w:t>bviously</w:t>
      </w:r>
      <w:r w:rsidR="0002321E">
        <w:t>,</w:t>
      </w:r>
      <w:r>
        <w:t xml:space="preserve"> the essential corrections should also be handled somehow, which could necessitate in June 2018 1) some essential corrections to the March 2018 version and 2) evolution of the full TS38.331 based on RAN1/RAN2 progress. These </w:t>
      </w:r>
      <w:r w:rsidR="0002321E">
        <w:t xml:space="preserve">could be done according to multiple sub-options: </w:t>
      </w:r>
    </w:p>
    <w:p w:rsidR="0002321E" w:rsidRDefault="0002321E" w:rsidP="00C10878">
      <w:pPr>
        <w:ind w:firstLine="284"/>
      </w:pPr>
      <w:r>
        <w:t>1) Separate modules for NSA and SA RRC (like with LTE and NB-IoT)</w:t>
      </w:r>
    </w:p>
    <w:p w:rsidR="0002321E" w:rsidRDefault="0002321E" w:rsidP="00C10878">
      <w:pPr>
        <w:ind w:firstLine="284"/>
      </w:pPr>
      <w:r>
        <w:t>2) Common module for NSA and SA RRC (like with normal LTE evolution across releases)</w:t>
      </w:r>
    </w:p>
    <w:p w:rsidR="0002321E" w:rsidRDefault="0002321E" w:rsidP="00C10878">
      <w:pPr>
        <w:ind w:firstLine="284"/>
      </w:pPr>
      <w:r>
        <w:t xml:space="preserve">3) </w:t>
      </w:r>
      <w:r w:rsidR="006D4253">
        <w:t xml:space="preserve">Separate modules for March (NSA) and September (NSA+SA) RRCs (“early” module frozen after September) </w:t>
      </w:r>
    </w:p>
    <w:p w:rsidR="00537844" w:rsidRDefault="006D4253" w:rsidP="00E02F06">
      <w:r>
        <w:t>These are all depicted in Figure 3, Figure 4 and Figure 5 below.</w:t>
      </w:r>
    </w:p>
    <w:p w:rsidR="006D4253" w:rsidRDefault="006D4253" w:rsidP="00E02F06"/>
    <w:p w:rsidR="00537844" w:rsidRDefault="0002321E" w:rsidP="00C10878">
      <w:pPr>
        <w:jc w:val="center"/>
      </w:pPr>
      <w:r>
        <w:rPr>
          <w:noProof/>
          <w:lang w:val="fi-FI" w:eastAsia="ja-JP"/>
        </w:rPr>
        <w:lastRenderedPageBreak/>
        <w:drawing>
          <wp:inline distT="0" distB="0" distL="0" distR="0" wp14:anchorId="6BC2F42E">
            <wp:extent cx="4803775" cy="3298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3775" cy="3298190"/>
                    </a:xfrm>
                    <a:prstGeom prst="rect">
                      <a:avLst/>
                    </a:prstGeom>
                    <a:noFill/>
                  </pic:spPr>
                </pic:pic>
              </a:graphicData>
            </a:graphic>
          </wp:inline>
        </w:drawing>
      </w:r>
    </w:p>
    <w:p w:rsidR="00537844" w:rsidRPr="003D6D94" w:rsidRDefault="00537844" w:rsidP="00C10878">
      <w:pPr>
        <w:pStyle w:val="Caption"/>
        <w:jc w:val="center"/>
        <w:rPr>
          <w:b/>
          <w:i w:val="0"/>
          <w:color w:val="000000" w:themeColor="text1"/>
          <w:sz w:val="20"/>
        </w:rPr>
      </w:pPr>
      <w:r w:rsidRPr="003D6D94">
        <w:rPr>
          <w:b/>
          <w:i w:val="0"/>
          <w:color w:val="000000" w:themeColor="text1"/>
          <w:sz w:val="20"/>
        </w:rPr>
        <w:t xml:space="preserve">Figure </w:t>
      </w:r>
      <w:r w:rsidRPr="003D6D94">
        <w:rPr>
          <w:b/>
          <w:i w:val="0"/>
          <w:color w:val="000000" w:themeColor="text1"/>
          <w:sz w:val="20"/>
        </w:rPr>
        <w:fldChar w:fldCharType="begin"/>
      </w:r>
      <w:r w:rsidRPr="003D6D94">
        <w:rPr>
          <w:b/>
          <w:i w:val="0"/>
          <w:color w:val="000000" w:themeColor="text1"/>
          <w:sz w:val="20"/>
        </w:rPr>
        <w:instrText xml:space="preserve"> SEQ Figure \* ARABIC </w:instrText>
      </w:r>
      <w:r w:rsidRPr="003D6D94">
        <w:rPr>
          <w:b/>
          <w:i w:val="0"/>
          <w:color w:val="000000" w:themeColor="text1"/>
          <w:sz w:val="20"/>
        </w:rPr>
        <w:fldChar w:fldCharType="separate"/>
      </w:r>
      <w:r w:rsidR="0002321E">
        <w:rPr>
          <w:b/>
          <w:i w:val="0"/>
          <w:noProof/>
          <w:color w:val="000000" w:themeColor="text1"/>
          <w:sz w:val="20"/>
        </w:rPr>
        <w:t>3</w:t>
      </w:r>
      <w:r w:rsidRPr="003D6D94">
        <w:rPr>
          <w:b/>
          <w:i w:val="0"/>
          <w:color w:val="000000" w:themeColor="text1"/>
          <w:sz w:val="20"/>
        </w:rPr>
        <w:fldChar w:fldCharType="end"/>
      </w:r>
      <w:r w:rsidRPr="003D6D94">
        <w:rPr>
          <w:b/>
          <w:i w:val="0"/>
          <w:color w:val="000000" w:themeColor="text1"/>
          <w:sz w:val="20"/>
        </w:rPr>
        <w:t xml:space="preserve">. Two-step ASN.1 freeze with Option </w:t>
      </w:r>
      <w:r w:rsidR="0002321E">
        <w:rPr>
          <w:b/>
          <w:i w:val="0"/>
          <w:color w:val="000000" w:themeColor="text1"/>
          <w:sz w:val="20"/>
        </w:rPr>
        <w:t>B-1</w:t>
      </w:r>
    </w:p>
    <w:p w:rsidR="00537844" w:rsidRDefault="00537844" w:rsidP="00E02F06"/>
    <w:p w:rsidR="00537844" w:rsidRDefault="0002321E" w:rsidP="00C10878">
      <w:pPr>
        <w:jc w:val="center"/>
      </w:pPr>
      <w:r>
        <w:rPr>
          <w:noProof/>
          <w:lang w:val="fi-FI" w:eastAsia="ja-JP"/>
        </w:rPr>
        <w:drawing>
          <wp:inline distT="0" distB="0" distL="0" distR="0" wp14:anchorId="07ADAFF2">
            <wp:extent cx="4840605" cy="31883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0605" cy="3188335"/>
                    </a:xfrm>
                    <a:prstGeom prst="rect">
                      <a:avLst/>
                    </a:prstGeom>
                    <a:noFill/>
                  </pic:spPr>
                </pic:pic>
              </a:graphicData>
            </a:graphic>
          </wp:inline>
        </w:drawing>
      </w:r>
    </w:p>
    <w:p w:rsidR="00537844" w:rsidRPr="003D6D94" w:rsidRDefault="00537844" w:rsidP="00C10878">
      <w:pPr>
        <w:pStyle w:val="Caption"/>
        <w:jc w:val="center"/>
        <w:rPr>
          <w:b/>
          <w:i w:val="0"/>
          <w:color w:val="000000" w:themeColor="text1"/>
          <w:sz w:val="20"/>
        </w:rPr>
      </w:pPr>
      <w:r w:rsidRPr="003D6D94">
        <w:rPr>
          <w:b/>
          <w:i w:val="0"/>
          <w:color w:val="000000" w:themeColor="text1"/>
          <w:sz w:val="20"/>
        </w:rPr>
        <w:t xml:space="preserve">Figure </w:t>
      </w:r>
      <w:r w:rsidRPr="003D6D94">
        <w:rPr>
          <w:b/>
          <w:i w:val="0"/>
          <w:color w:val="000000" w:themeColor="text1"/>
          <w:sz w:val="20"/>
        </w:rPr>
        <w:fldChar w:fldCharType="begin"/>
      </w:r>
      <w:r w:rsidRPr="003D6D94">
        <w:rPr>
          <w:b/>
          <w:i w:val="0"/>
          <w:color w:val="000000" w:themeColor="text1"/>
          <w:sz w:val="20"/>
        </w:rPr>
        <w:instrText xml:space="preserve"> SEQ Figure \* ARABIC </w:instrText>
      </w:r>
      <w:r w:rsidRPr="003D6D94">
        <w:rPr>
          <w:b/>
          <w:i w:val="0"/>
          <w:color w:val="000000" w:themeColor="text1"/>
          <w:sz w:val="20"/>
        </w:rPr>
        <w:fldChar w:fldCharType="separate"/>
      </w:r>
      <w:r w:rsidR="0002321E">
        <w:rPr>
          <w:b/>
          <w:i w:val="0"/>
          <w:noProof/>
          <w:color w:val="000000" w:themeColor="text1"/>
          <w:sz w:val="20"/>
        </w:rPr>
        <w:t>4</w:t>
      </w:r>
      <w:r w:rsidRPr="003D6D94">
        <w:rPr>
          <w:b/>
          <w:i w:val="0"/>
          <w:color w:val="000000" w:themeColor="text1"/>
          <w:sz w:val="20"/>
        </w:rPr>
        <w:fldChar w:fldCharType="end"/>
      </w:r>
      <w:r w:rsidRPr="003D6D94">
        <w:rPr>
          <w:b/>
          <w:i w:val="0"/>
          <w:color w:val="000000" w:themeColor="text1"/>
          <w:sz w:val="20"/>
        </w:rPr>
        <w:t xml:space="preserve">. Two-step ASN.1 freeze with Option </w:t>
      </w:r>
      <w:r w:rsidR="0002321E">
        <w:rPr>
          <w:b/>
          <w:i w:val="0"/>
          <w:color w:val="000000" w:themeColor="text1"/>
          <w:sz w:val="20"/>
        </w:rPr>
        <w:t>B-2</w:t>
      </w:r>
    </w:p>
    <w:p w:rsidR="00537844" w:rsidRDefault="00537844" w:rsidP="00E02F06"/>
    <w:p w:rsidR="0002321E" w:rsidRDefault="0002321E" w:rsidP="00C10878">
      <w:pPr>
        <w:jc w:val="center"/>
      </w:pPr>
      <w:r>
        <w:rPr>
          <w:noProof/>
          <w:lang w:val="fi-FI" w:eastAsia="ja-JP"/>
        </w:rPr>
        <w:lastRenderedPageBreak/>
        <w:drawing>
          <wp:inline distT="0" distB="0" distL="0" distR="0" wp14:anchorId="2C6B2EE4">
            <wp:extent cx="5651500" cy="3462655"/>
            <wp:effectExtent l="0" t="0" r="635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500" cy="3462655"/>
                    </a:xfrm>
                    <a:prstGeom prst="rect">
                      <a:avLst/>
                    </a:prstGeom>
                    <a:noFill/>
                  </pic:spPr>
                </pic:pic>
              </a:graphicData>
            </a:graphic>
          </wp:inline>
        </w:drawing>
      </w:r>
    </w:p>
    <w:p w:rsidR="0002321E" w:rsidRPr="003D6D94" w:rsidRDefault="0002321E" w:rsidP="00C10878">
      <w:pPr>
        <w:pStyle w:val="Caption"/>
        <w:jc w:val="center"/>
        <w:rPr>
          <w:b/>
          <w:i w:val="0"/>
          <w:color w:val="000000" w:themeColor="text1"/>
          <w:sz w:val="20"/>
        </w:rPr>
      </w:pPr>
      <w:r w:rsidRPr="003D6D94">
        <w:rPr>
          <w:b/>
          <w:i w:val="0"/>
          <w:color w:val="000000" w:themeColor="text1"/>
          <w:sz w:val="20"/>
        </w:rPr>
        <w:t xml:space="preserve">Figure </w:t>
      </w:r>
      <w:r w:rsidRPr="003D6D94">
        <w:rPr>
          <w:b/>
          <w:i w:val="0"/>
          <w:color w:val="000000" w:themeColor="text1"/>
          <w:sz w:val="20"/>
        </w:rPr>
        <w:fldChar w:fldCharType="begin"/>
      </w:r>
      <w:r w:rsidRPr="003D6D94">
        <w:rPr>
          <w:b/>
          <w:i w:val="0"/>
          <w:color w:val="000000" w:themeColor="text1"/>
          <w:sz w:val="20"/>
        </w:rPr>
        <w:instrText xml:space="preserve"> SEQ Figure \* ARABIC </w:instrText>
      </w:r>
      <w:r w:rsidRPr="003D6D94">
        <w:rPr>
          <w:b/>
          <w:i w:val="0"/>
          <w:color w:val="000000" w:themeColor="text1"/>
          <w:sz w:val="20"/>
        </w:rPr>
        <w:fldChar w:fldCharType="separate"/>
      </w:r>
      <w:r>
        <w:rPr>
          <w:b/>
          <w:i w:val="0"/>
          <w:noProof/>
          <w:color w:val="000000" w:themeColor="text1"/>
          <w:sz w:val="20"/>
        </w:rPr>
        <w:t>5</w:t>
      </w:r>
      <w:r w:rsidRPr="003D6D94">
        <w:rPr>
          <w:b/>
          <w:i w:val="0"/>
          <w:color w:val="000000" w:themeColor="text1"/>
          <w:sz w:val="20"/>
        </w:rPr>
        <w:fldChar w:fldCharType="end"/>
      </w:r>
      <w:r w:rsidRPr="003D6D94">
        <w:rPr>
          <w:b/>
          <w:i w:val="0"/>
          <w:color w:val="000000" w:themeColor="text1"/>
          <w:sz w:val="20"/>
        </w:rPr>
        <w:t xml:space="preserve">. Two-step ASN.1 freeze with Option </w:t>
      </w:r>
      <w:r>
        <w:rPr>
          <w:b/>
          <w:i w:val="0"/>
          <w:color w:val="000000" w:themeColor="text1"/>
          <w:sz w:val="20"/>
        </w:rPr>
        <w:t>B-3</w:t>
      </w:r>
    </w:p>
    <w:p w:rsidR="0002321E" w:rsidRDefault="006D4253" w:rsidP="00E02F06">
      <w:r>
        <w:t xml:space="preserve">There are some immediate notes to be made </w:t>
      </w:r>
      <w:r w:rsidR="009D4EAC">
        <w:t>from these sub-options</w:t>
      </w:r>
      <w:r>
        <w:t>:</w:t>
      </w:r>
    </w:p>
    <w:p w:rsidR="006D4253" w:rsidRDefault="006D4253" w:rsidP="00C10878">
      <w:pPr>
        <w:pStyle w:val="ListParagraph"/>
        <w:numPr>
          <w:ilvl w:val="0"/>
          <w:numId w:val="18"/>
        </w:numPr>
      </w:pPr>
      <w:r>
        <w:t xml:space="preserve">Some parts of RRC are expected to be common and can be reused for all the options. </w:t>
      </w:r>
    </w:p>
    <w:p w:rsidR="009D4EAC" w:rsidRDefault="009D4EAC" w:rsidP="00C10878">
      <w:pPr>
        <w:pStyle w:val="ListParagraph"/>
        <w:numPr>
          <w:ilvl w:val="0"/>
          <w:numId w:val="18"/>
        </w:numPr>
      </w:pPr>
      <w:r>
        <w:t xml:space="preserve">The maintenance effort for a single specification is </w:t>
      </w:r>
      <w:r w:rsidR="003B2837">
        <w:t>well-</w:t>
      </w:r>
      <w:r>
        <w:t>known</w:t>
      </w:r>
      <w:r w:rsidR="003B2837">
        <w:t xml:space="preserve"> </w:t>
      </w:r>
    </w:p>
    <w:p w:rsidR="006D4253" w:rsidRDefault="006D4253" w:rsidP="00C10878">
      <w:pPr>
        <w:pStyle w:val="ListParagraph"/>
        <w:numPr>
          <w:ilvl w:val="0"/>
          <w:numId w:val="18"/>
        </w:numPr>
      </w:pPr>
      <w:r>
        <w:t xml:space="preserve">Having separate modules allows for some separation of ASN.1, but will require more maintenance of </w:t>
      </w:r>
      <w:r w:rsidR="003B2837">
        <w:t xml:space="preserve">procedural text of the </w:t>
      </w:r>
      <w:r>
        <w:t xml:space="preserve">specification and (sometimes clumsy) notes on which parts of procedural text apply or not apply to </w:t>
      </w:r>
      <w:r w:rsidR="003B2837">
        <w:t xml:space="preserve">the </w:t>
      </w:r>
      <w:r>
        <w:t>“early UEs”</w:t>
      </w:r>
    </w:p>
    <w:p w:rsidR="006D4253" w:rsidRDefault="006D4253" w:rsidP="00C10878">
      <w:pPr>
        <w:pStyle w:val="ListParagraph"/>
        <w:numPr>
          <w:ilvl w:val="0"/>
          <w:numId w:val="18"/>
        </w:numPr>
      </w:pPr>
      <w:r>
        <w:t>Having everything in a single module may require using critical extensions in case non-backward-compatible changes are required after March 2018</w:t>
      </w:r>
    </w:p>
    <w:p w:rsidR="006D4253" w:rsidRDefault="006D4253" w:rsidP="00C10878">
      <w:pPr>
        <w:pStyle w:val="ListParagraph"/>
        <w:numPr>
          <w:ilvl w:val="0"/>
          <w:numId w:val="18"/>
        </w:numPr>
      </w:pPr>
      <w:r>
        <w:t>Some “adaptation” will anyway be required in all the options for the March 2018 parts – the details will only be seen after freezing, but it doesn’t seem impossible in any of the cases.</w:t>
      </w:r>
    </w:p>
    <w:p w:rsidR="0002321E" w:rsidRDefault="006D4253" w:rsidP="00E02F06">
      <w:r w:rsidRPr="00C10878">
        <w:rPr>
          <w:b/>
        </w:rPr>
        <w:t xml:space="preserve">Observation </w:t>
      </w:r>
      <w:r>
        <w:rPr>
          <w:b/>
        </w:rPr>
        <w:t>7</w:t>
      </w:r>
      <w:r w:rsidRPr="00C10878">
        <w:rPr>
          <w:b/>
        </w:rPr>
        <w:t>:</w:t>
      </w:r>
      <w:r>
        <w:t xml:space="preserve"> Option B is </w:t>
      </w:r>
      <w:r w:rsidR="003B2837">
        <w:t xml:space="preserve">rather </w:t>
      </w:r>
      <w:r>
        <w:t>close to the way 3GPP has dealt with “intermediate” release in Rel-13 with LTE and NB-IoT.</w:t>
      </w:r>
    </w:p>
    <w:p w:rsidR="006D4253" w:rsidRDefault="006D4253" w:rsidP="00E02F06">
      <w:r w:rsidRPr="00C852AB">
        <w:rPr>
          <w:b/>
        </w:rPr>
        <w:t>Observation 8</w:t>
      </w:r>
      <w:r w:rsidRPr="00C10878">
        <w:rPr>
          <w:b/>
        </w:rPr>
        <w:t>:</w:t>
      </w:r>
      <w:r>
        <w:t xml:space="preserve"> Overly complicated RRC specification (e.g. with a lot of modules</w:t>
      </w:r>
      <w:r w:rsidR="003B2837">
        <w:t xml:space="preserve"> that are partially overlapping, like in option B-3</w:t>
      </w:r>
      <w:r>
        <w:t>) may create a lot of extra maintenance effort</w:t>
      </w:r>
      <w:r w:rsidR="003B2837">
        <w:t xml:space="preserve"> for little benefit</w:t>
      </w:r>
      <w:r>
        <w:t>.</w:t>
      </w:r>
    </w:p>
    <w:p w:rsidR="006D4253" w:rsidRDefault="006D4253" w:rsidP="00E02F06">
      <w:r w:rsidRPr="00C10878">
        <w:rPr>
          <w:b/>
        </w:rPr>
        <w:t>Observation</w:t>
      </w:r>
      <w:r w:rsidRPr="00C852AB">
        <w:rPr>
          <w:b/>
        </w:rPr>
        <w:t xml:space="preserve"> 9</w:t>
      </w:r>
      <w:r w:rsidRPr="00C10878">
        <w:rPr>
          <w:b/>
        </w:rPr>
        <w:t>:</w:t>
      </w:r>
      <w:r>
        <w:t xml:space="preserve"> Option B can work for the two-step freezing since it used well-known methods to extend RRC specification.</w:t>
      </w:r>
    </w:p>
    <w:p w:rsidR="00367DA3" w:rsidRPr="006E13D1" w:rsidRDefault="00367DA3" w:rsidP="00367DA3">
      <w:pPr>
        <w:pStyle w:val="Heading2"/>
      </w:pPr>
      <w:r w:rsidRPr="006E13D1">
        <w:t>3.</w:t>
      </w:r>
      <w:r w:rsidR="009B2080">
        <w:t>4</w:t>
      </w:r>
      <w:r w:rsidRPr="006E13D1">
        <w:tab/>
      </w:r>
      <w:r w:rsidR="00BF6C9F">
        <w:t>Way forward</w:t>
      </w:r>
      <w:r>
        <w:t xml:space="preserve"> </w:t>
      </w:r>
    </w:p>
    <w:p w:rsidR="006D4253" w:rsidRDefault="006D4253" w:rsidP="008E75C7">
      <w:r>
        <w:t>Based on the discussion in previous sections, we can see that either option A or B could be possible. However, considering that the way to freeze the RRC specification may have impacts on the maintenance of specifications, 3GPP should select an option that doesn’t create further sources of error to specification maintenance.</w:t>
      </w:r>
      <w:r w:rsidR="00FE1EC2">
        <w:t xml:space="preserve"> However, the details of the discussion require RAN2 work, and RAN should mainly be concerned with the </w:t>
      </w:r>
      <w:r w:rsidR="00E0666C">
        <w:t>high-level principles concerning the maintenance of the specification. Since RAN2 is already (and will continue) discussing the exact ASN.1 principles on how to accomplish the RAN decisions.</w:t>
      </w:r>
      <w:r w:rsidR="00C852AB">
        <w:t xml:space="preserve"> </w:t>
      </w:r>
    </w:p>
    <w:p w:rsidR="00E0666C" w:rsidRPr="00C10878" w:rsidRDefault="00E0666C" w:rsidP="00E0666C">
      <w:r>
        <w:rPr>
          <w:b/>
        </w:rPr>
        <w:t xml:space="preserve">Proposal 4: </w:t>
      </w:r>
      <w:r>
        <w:t>RAN to decide between Option A and Option B</w:t>
      </w:r>
      <w:r w:rsidR="007F115C">
        <w:t xml:space="preserve"> for two-step ASN.1 freeze.</w:t>
      </w:r>
    </w:p>
    <w:p w:rsidR="00BF6C9F" w:rsidRDefault="00E0666C" w:rsidP="008E75C7">
      <w:r w:rsidRPr="003D6D94">
        <w:rPr>
          <w:b/>
        </w:rPr>
        <w:t xml:space="preserve">Proposal </w:t>
      </w:r>
      <w:r>
        <w:rPr>
          <w:b/>
        </w:rPr>
        <w:t>5</w:t>
      </w:r>
      <w:r w:rsidRPr="003D6D94">
        <w:rPr>
          <w:b/>
        </w:rPr>
        <w:t>:</w:t>
      </w:r>
      <w:r>
        <w:t xml:space="preserve"> RAN2 to decide and endorse </w:t>
      </w:r>
      <w:r w:rsidR="007F115C">
        <w:t xml:space="preserve">details of </w:t>
      </w:r>
      <w:r>
        <w:t xml:space="preserve">doing the two-step ASN.1 freezing for March 2018 </w:t>
      </w:r>
      <w:r w:rsidR="007F115C">
        <w:t xml:space="preserve">based on RAN decision and provide feedback to RAN#77 in </w:t>
      </w:r>
      <w:r>
        <w:t>June 2017.</w:t>
      </w:r>
    </w:p>
    <w:p w:rsidR="003B2837" w:rsidRDefault="003B2837" w:rsidP="008E75C7">
      <w:r>
        <w:t>Our preference would be to utilize option B for the two-step ASN.1 freezing since the method is well-known and we know its pitfalls. We think having a common specification helps in the end.</w:t>
      </w:r>
    </w:p>
    <w:p w:rsidR="003B2837" w:rsidRDefault="003B2837" w:rsidP="008E75C7">
      <w:r w:rsidRPr="007672B4">
        <w:rPr>
          <w:b/>
        </w:rPr>
        <w:lastRenderedPageBreak/>
        <w:t>Proposal 6:</w:t>
      </w:r>
      <w:r>
        <w:t xml:space="preserve"> RAN to choose option B for the two-step ASN.1 freeze. </w:t>
      </w:r>
    </w:p>
    <w:p w:rsidR="00CD4C7B" w:rsidRPr="006E13D1" w:rsidRDefault="00CD4C7B" w:rsidP="00CD4C7B">
      <w:pPr>
        <w:pStyle w:val="Heading1"/>
      </w:pPr>
      <w:r w:rsidRPr="006E13D1">
        <w:t>4</w:t>
      </w:r>
      <w:r w:rsidRPr="006E13D1">
        <w:tab/>
      </w:r>
      <w:r w:rsidR="00367DA3">
        <w:t>Conclusions</w:t>
      </w:r>
      <w:r w:rsidRPr="006E13D1">
        <w:t xml:space="preserve"> </w:t>
      </w:r>
    </w:p>
    <w:p w:rsidR="002E5B14" w:rsidRDefault="002E5B14" w:rsidP="00C852AB">
      <w:r>
        <w:t xml:space="preserve">We have discussed the </w:t>
      </w:r>
      <w:r w:rsidR="00BF6C9F">
        <w:t>two-step ASN.1 freezing and expressed that care should be taken to not introduce market fragmentation.</w:t>
      </w:r>
      <w:r w:rsidR="00427F7E">
        <w:t xml:space="preserve"> We have observed the following in the discussion part:</w:t>
      </w:r>
    </w:p>
    <w:p w:rsidR="00427F7E" w:rsidRDefault="00427F7E" w:rsidP="00427F7E">
      <w:r w:rsidRPr="00BD5FBD">
        <w:rPr>
          <w:b/>
        </w:rPr>
        <w:t>Observation 1:</w:t>
      </w:r>
      <w:r>
        <w:t xml:space="preserve"> The regular ASN.1 freezing process requires ~3 months to complete.</w:t>
      </w:r>
    </w:p>
    <w:p w:rsidR="00427F7E" w:rsidRDefault="00427F7E" w:rsidP="00427F7E">
      <w:r w:rsidRPr="00BD5FBD">
        <w:rPr>
          <w:b/>
        </w:rPr>
        <w:t>Observation 2:</w:t>
      </w:r>
      <w:r>
        <w:t xml:space="preserve"> Corrections are always required even after ASN.1 freezing.</w:t>
      </w:r>
    </w:p>
    <w:p w:rsidR="00427F7E" w:rsidRDefault="00427F7E" w:rsidP="00427F7E">
      <w:r w:rsidRPr="007E0741">
        <w:rPr>
          <w:b/>
        </w:rPr>
        <w:t>Observation 3:</w:t>
      </w:r>
      <w:r>
        <w:t xml:space="preserve"> If the two-step RRC freezing is done, RAN needs to discuss and decide on how to maintain the March 2018 specifications.</w:t>
      </w:r>
    </w:p>
    <w:p w:rsidR="00427F7E" w:rsidRDefault="00427F7E" w:rsidP="00427F7E">
      <w:r w:rsidRPr="007E0741">
        <w:rPr>
          <w:b/>
        </w:rPr>
        <w:t>Observation 4:</w:t>
      </w:r>
      <w:r>
        <w:t xml:space="preserve"> A new specification TS38.331 will be created for NR RRC.</w:t>
      </w:r>
    </w:p>
    <w:p w:rsidR="00427F7E" w:rsidRPr="007E0741" w:rsidRDefault="00427F7E" w:rsidP="00427F7E">
      <w:r w:rsidRPr="003D6D94">
        <w:rPr>
          <w:b/>
        </w:rPr>
        <w:t xml:space="preserve">Observation </w:t>
      </w:r>
      <w:r>
        <w:rPr>
          <w:b/>
        </w:rPr>
        <w:t>5</w:t>
      </w:r>
      <w:r w:rsidRPr="003D6D94">
        <w:rPr>
          <w:b/>
        </w:rPr>
        <w:t>:</w:t>
      </w:r>
      <w:r>
        <w:t xml:space="preserve"> Option A allows the early step to stay invisible to the final RRC specification, but requires maintenance of two (almost parallel) specifications at the same time.</w:t>
      </w:r>
    </w:p>
    <w:p w:rsidR="00427F7E" w:rsidRDefault="00427F7E" w:rsidP="00427F7E">
      <w:r w:rsidRPr="003D6D94">
        <w:rPr>
          <w:b/>
        </w:rPr>
        <w:t>Observation 6:</w:t>
      </w:r>
      <w:r>
        <w:t xml:space="preserve"> Option A requires 3GPP to clearly indicate that all UEs implemented after September 2018 shall not use TS38.330.</w:t>
      </w:r>
    </w:p>
    <w:p w:rsidR="00427F7E" w:rsidRDefault="00427F7E" w:rsidP="00427F7E">
      <w:r w:rsidRPr="003D6D94">
        <w:rPr>
          <w:b/>
        </w:rPr>
        <w:t xml:space="preserve">Observation </w:t>
      </w:r>
      <w:r>
        <w:rPr>
          <w:b/>
        </w:rPr>
        <w:t>7</w:t>
      </w:r>
      <w:r w:rsidRPr="003D6D94">
        <w:rPr>
          <w:b/>
        </w:rPr>
        <w:t>:</w:t>
      </w:r>
      <w:r>
        <w:t xml:space="preserve"> Option B is close to the way 3GPP has dealt with “intermediate” release in Rel-13 with LTE and NB-IoT.</w:t>
      </w:r>
    </w:p>
    <w:p w:rsidR="00427F7E" w:rsidRDefault="00427F7E" w:rsidP="00427F7E">
      <w:r w:rsidRPr="003D6D94">
        <w:rPr>
          <w:b/>
        </w:rPr>
        <w:t>Observation 8:</w:t>
      </w:r>
      <w:r>
        <w:t xml:space="preserve"> Overly complicated RRC specification (e.g. with a lot of modules) may create a lot of extra maintenance effort.</w:t>
      </w:r>
    </w:p>
    <w:p w:rsidR="00427F7E" w:rsidRDefault="00427F7E" w:rsidP="00427F7E">
      <w:r w:rsidRPr="003D6D94">
        <w:rPr>
          <w:b/>
        </w:rPr>
        <w:t>Observation 9:</w:t>
      </w:r>
      <w:r>
        <w:t xml:space="preserve"> Option B can work for the two-step freezing since it used well-known methods to extend RRC specification.</w:t>
      </w:r>
    </w:p>
    <w:p w:rsidR="00427F7E" w:rsidRDefault="00BF6C9F" w:rsidP="00427F7E">
      <w:r>
        <w:t xml:space="preserve">Based on these, </w:t>
      </w:r>
      <w:r w:rsidR="00427F7E">
        <w:t>we think that the following rules should be followed:</w:t>
      </w:r>
    </w:p>
    <w:p w:rsidR="00427F7E" w:rsidRDefault="00427F7E" w:rsidP="00427F7E">
      <w:pPr>
        <w:pStyle w:val="ListParagraph"/>
        <w:numPr>
          <w:ilvl w:val="0"/>
          <w:numId w:val="18"/>
        </w:numPr>
        <w:rPr>
          <w:lang w:val="en-US"/>
        </w:rPr>
      </w:pPr>
      <w:r w:rsidRPr="003D6D94">
        <w:rPr>
          <w:lang w:val="en-US"/>
        </w:rPr>
        <w:t>NSA RRC ASN.1 frozen in March 2018 will only be corrected and maintained until Sept</w:t>
      </w:r>
      <w:r w:rsidR="00520703">
        <w:rPr>
          <w:lang w:val="en-US"/>
        </w:rPr>
        <w:t xml:space="preserve">ember </w:t>
      </w:r>
      <w:r w:rsidRPr="003D6D94">
        <w:rPr>
          <w:lang w:val="en-US"/>
        </w:rPr>
        <w:t>2018 (i.e. only essential corrections to this version of RRC ASN.1 in June 2018 if any corrections)</w:t>
      </w:r>
    </w:p>
    <w:p w:rsidR="00427F7E" w:rsidRPr="003D6D94" w:rsidRDefault="00427F7E" w:rsidP="00427F7E">
      <w:pPr>
        <w:pStyle w:val="ListParagraph"/>
        <w:numPr>
          <w:ilvl w:val="0"/>
          <w:numId w:val="18"/>
        </w:numPr>
        <w:rPr>
          <w:lang w:val="en-US"/>
        </w:rPr>
      </w:pPr>
      <w:r w:rsidRPr="003D6D94">
        <w:rPr>
          <w:lang w:val="en-US"/>
        </w:rPr>
        <w:t>From Sept</w:t>
      </w:r>
      <w:r w:rsidR="00520703">
        <w:rPr>
          <w:lang w:val="en-US"/>
        </w:rPr>
        <w:t xml:space="preserve">ember </w:t>
      </w:r>
      <w:r w:rsidRPr="003D6D94">
        <w:rPr>
          <w:lang w:val="en-US"/>
        </w:rPr>
        <w:t>2018</w:t>
      </w:r>
      <w:r w:rsidR="00ED5CCF">
        <w:rPr>
          <w:lang w:val="en-US"/>
        </w:rPr>
        <w:t xml:space="preserve"> </w:t>
      </w:r>
      <w:bookmarkStart w:id="1" w:name="_GoBack"/>
      <w:bookmarkEnd w:id="1"/>
      <w:r w:rsidRPr="003D6D94">
        <w:rPr>
          <w:lang w:val="en-US"/>
        </w:rPr>
        <w:t xml:space="preserve">onwards only one “NSA+SA” RRC ASN.1 is maintained and all the essential corrections are made to that RRC ASN.1 </w:t>
      </w:r>
    </w:p>
    <w:p w:rsidR="00427F7E" w:rsidRPr="00BF6C9F" w:rsidRDefault="00427F7E" w:rsidP="00427F7E">
      <w:pPr>
        <w:rPr>
          <w:lang w:val="en-US"/>
        </w:rPr>
      </w:pPr>
      <w:r w:rsidRPr="00BF6C9F">
        <w:rPr>
          <w:lang w:val="en-US"/>
        </w:rPr>
        <w:t>To our understanding this means that (NSA only)</w:t>
      </w:r>
      <w:r>
        <w:rPr>
          <w:lang w:val="en-US"/>
        </w:rPr>
        <w:t xml:space="preserve"> UEs using Sept</w:t>
      </w:r>
      <w:r w:rsidR="00520703">
        <w:rPr>
          <w:lang w:val="en-US"/>
        </w:rPr>
        <w:t xml:space="preserve">ember </w:t>
      </w:r>
      <w:r>
        <w:rPr>
          <w:lang w:val="en-US"/>
        </w:rPr>
        <w:t xml:space="preserve">2018 RRC ASN.1 </w:t>
      </w:r>
      <w:r w:rsidRPr="00BF6C9F">
        <w:rPr>
          <w:lang w:val="en-US"/>
        </w:rPr>
        <w:t>will then support all the Sept</w:t>
      </w:r>
      <w:r w:rsidR="00520703">
        <w:rPr>
          <w:lang w:val="en-US"/>
        </w:rPr>
        <w:t>ember</w:t>
      </w:r>
      <w:r w:rsidRPr="00BF6C9F">
        <w:rPr>
          <w:lang w:val="en-US"/>
        </w:rPr>
        <w:t xml:space="preserve"> 2018 corrections for the functions/features, which were completed by March 2018 (i.e. full RRC ASN.1 syntax of Sept</w:t>
      </w:r>
      <w:r w:rsidR="00520703">
        <w:rPr>
          <w:lang w:val="en-US"/>
        </w:rPr>
        <w:t>ember</w:t>
      </w:r>
      <w:r w:rsidRPr="00BF6C9F">
        <w:rPr>
          <w:lang w:val="en-US"/>
        </w:rPr>
        <w:t xml:space="preserve"> 2018 version is supported and all essential </w:t>
      </w:r>
      <w:r>
        <w:rPr>
          <w:lang w:val="en-US"/>
        </w:rPr>
        <w:t>PHY</w:t>
      </w:r>
      <w:r w:rsidRPr="00BF6C9F">
        <w:rPr>
          <w:lang w:val="en-US"/>
        </w:rPr>
        <w:t xml:space="preserve"> layer corrections are made in Sept</w:t>
      </w:r>
      <w:r w:rsidR="00520703">
        <w:rPr>
          <w:lang w:val="en-US"/>
        </w:rPr>
        <w:t>ember</w:t>
      </w:r>
      <w:r w:rsidRPr="00BF6C9F">
        <w:rPr>
          <w:lang w:val="en-US"/>
        </w:rPr>
        <w:t xml:space="preserve"> 2018 UEs, including NSA only UEs). </w:t>
      </w:r>
    </w:p>
    <w:p w:rsidR="00427F7E" w:rsidRPr="00C10878" w:rsidRDefault="00427F7E" w:rsidP="00427F7E">
      <w:r>
        <w:t>To this end, we propose the following:</w:t>
      </w:r>
    </w:p>
    <w:p w:rsidR="00427F7E" w:rsidRDefault="00427F7E" w:rsidP="00427F7E">
      <w:r w:rsidRPr="007E0741">
        <w:rPr>
          <w:b/>
        </w:rPr>
        <w:t xml:space="preserve">Proposal 1: </w:t>
      </w:r>
      <w:r>
        <w:t>NSA-only UEs may be implemented using the March 2018 specifications until September 2018.</w:t>
      </w:r>
    </w:p>
    <w:p w:rsidR="00427F7E" w:rsidRDefault="00427F7E" w:rsidP="00427F7E">
      <w:r w:rsidRPr="007E0741">
        <w:rPr>
          <w:b/>
        </w:rPr>
        <w:t>Proposal 2:</w:t>
      </w:r>
      <w:r>
        <w:t xml:space="preserve"> All UE implementations after September 2018 shall be implemented using the September 2018 specifications.</w:t>
      </w:r>
    </w:p>
    <w:p w:rsidR="00427F7E" w:rsidRDefault="00427F7E" w:rsidP="00427F7E">
      <w:r w:rsidRPr="003D6D94">
        <w:rPr>
          <w:b/>
        </w:rPr>
        <w:t>Proposal 3:</w:t>
      </w:r>
      <w:r>
        <w:t xml:space="preserve"> RAN to provide </w:t>
      </w:r>
      <w:r w:rsidR="00C852AB">
        <w:t xml:space="preserve">high-level </w:t>
      </w:r>
      <w:r>
        <w:t>guidance to RAN2 on how the two-step ASN.1 freezing should be done.</w:t>
      </w:r>
    </w:p>
    <w:p w:rsidR="00427F7E" w:rsidRPr="003D6D94" w:rsidRDefault="00427F7E" w:rsidP="00427F7E">
      <w:r>
        <w:rPr>
          <w:b/>
        </w:rPr>
        <w:t xml:space="preserve">Proposal 4: </w:t>
      </w:r>
      <w:r>
        <w:t>RAN to decide between Option A and Option B for two-step ASN.1 freeze.</w:t>
      </w:r>
    </w:p>
    <w:p w:rsidR="00C852AB" w:rsidRDefault="00427F7E" w:rsidP="00BF6C9F">
      <w:r w:rsidRPr="003D6D94">
        <w:rPr>
          <w:b/>
        </w:rPr>
        <w:t xml:space="preserve">Proposal </w:t>
      </w:r>
      <w:r>
        <w:rPr>
          <w:b/>
        </w:rPr>
        <w:t>5</w:t>
      </w:r>
      <w:r w:rsidRPr="003D6D94">
        <w:rPr>
          <w:b/>
        </w:rPr>
        <w:t>:</w:t>
      </w:r>
      <w:r>
        <w:t xml:space="preserve"> RAN2 to decide and endorse details of doing the two-step ASN.1 freezing for March 2018 based on RAN decision and provide feedback to RAN#77 in June 2017.</w:t>
      </w:r>
    </w:p>
    <w:p w:rsidR="003B2837" w:rsidRDefault="003B2837" w:rsidP="003B2837">
      <w:r w:rsidRPr="003D6D94">
        <w:rPr>
          <w:b/>
        </w:rPr>
        <w:t>Proposal 6:</w:t>
      </w:r>
      <w:r>
        <w:t xml:space="preserve"> RAN to choose option B for the two-step ASN.1 freeze. </w:t>
      </w:r>
    </w:p>
    <w:p w:rsidR="00C852AB" w:rsidRDefault="00C852AB" w:rsidP="00BF6C9F"/>
    <w:p w:rsidR="00C852AB" w:rsidRDefault="00C852AB" w:rsidP="00C852AB">
      <w:pPr>
        <w:pStyle w:val="Heading1"/>
      </w:pPr>
      <w:r>
        <w:lastRenderedPageBreak/>
        <w:t>References</w:t>
      </w:r>
    </w:p>
    <w:p w:rsidR="00C852AB" w:rsidRDefault="00C852AB" w:rsidP="00C852AB">
      <w:r w:rsidRPr="003D6D94">
        <w:rPr>
          <w:lang w:val="en-US"/>
        </w:rPr>
        <w:t>[1]</w:t>
      </w:r>
      <w:r w:rsidRPr="00812168">
        <w:rPr>
          <w:lang w:val="en-US"/>
        </w:rPr>
        <w:t xml:space="preserve"> </w:t>
      </w:r>
      <w:hyperlink r:id="rId19" w:history="1">
        <w:r w:rsidRPr="005A574A">
          <w:rPr>
            <w:rStyle w:val="Hyperlink"/>
          </w:rPr>
          <w:t>RP-170531</w:t>
        </w:r>
      </w:hyperlink>
      <w:r>
        <w:t>, "On the overall 5G-NR workplan”, Alcatel-Lucent Shanghai-Bell, Apple, AT&amp;T, British Telecom, Broadcom, Convida Wireless, Deutsche Telekom, DOCOMO, Ericsson, Etisalat, Huawei, Intel, KDDI, KT, LG Electronics, LGU+, Nokia, Ooredoo, Qualcomm, SK Telecom, Sprint, Swisscom, Telecom Italia, TeliaSonera, Telstra, VIVO, Vodafone, ZTE</w:t>
      </w:r>
    </w:p>
    <w:p w:rsidR="00BF6C9F" w:rsidRPr="00BF6C9F" w:rsidRDefault="00BF6C9F" w:rsidP="00BF6C9F">
      <w:pPr>
        <w:rPr>
          <w:lang w:val="en-US"/>
        </w:rPr>
      </w:pPr>
    </w:p>
    <w:sectPr w:rsidR="00BF6C9F" w:rsidRPr="00BF6C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6DB" w:rsidRDefault="004A06DB">
      <w:r>
        <w:separator/>
      </w:r>
    </w:p>
  </w:endnote>
  <w:endnote w:type="continuationSeparator" w:id="0">
    <w:p w:rsidR="004A06DB" w:rsidRDefault="004A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6DB" w:rsidRDefault="004A06DB">
      <w:r>
        <w:separator/>
      </w:r>
    </w:p>
  </w:footnote>
  <w:footnote w:type="continuationSeparator" w:id="0">
    <w:p w:rsidR="004A06DB" w:rsidRDefault="004A0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35DEF"/>
    <w:multiLevelType w:val="hybridMultilevel"/>
    <w:tmpl w:val="EAC2A5B8"/>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5E1893"/>
    <w:multiLevelType w:val="hybridMultilevel"/>
    <w:tmpl w:val="D934561C"/>
    <w:lvl w:ilvl="0" w:tplc="3C2481FE">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2F7DA5"/>
    <w:multiLevelType w:val="hybridMultilevel"/>
    <w:tmpl w:val="F694115C"/>
    <w:lvl w:ilvl="0" w:tplc="668C8FEE">
      <w:start w:val="1"/>
      <w:numFmt w:val="bullet"/>
      <w:lvlText w:val="-"/>
      <w:lvlJc w:val="left"/>
      <w:pPr>
        <w:tabs>
          <w:tab w:val="num" w:pos="644"/>
        </w:tabs>
        <w:ind w:left="644" w:hanging="360"/>
      </w:pPr>
      <w:rPr>
        <w:rFonts w:ascii="Lucida Grande" w:hAnsi="Lucida Grande" w:hint="default"/>
      </w:rPr>
    </w:lvl>
    <w:lvl w:ilvl="1" w:tplc="25F8F14E">
      <w:start w:val="1"/>
      <w:numFmt w:val="bullet"/>
      <w:lvlText w:val="-"/>
      <w:lvlJc w:val="left"/>
      <w:pPr>
        <w:tabs>
          <w:tab w:val="num" w:pos="1364"/>
        </w:tabs>
        <w:ind w:left="1364" w:hanging="360"/>
      </w:pPr>
      <w:rPr>
        <w:rFonts w:ascii="Lucida Grande" w:hAnsi="Lucida Grande" w:hint="default"/>
      </w:rPr>
    </w:lvl>
    <w:lvl w:ilvl="2" w:tplc="C7327352">
      <w:numFmt w:val="bullet"/>
      <w:lvlText w:val="•"/>
      <w:lvlJc w:val="left"/>
      <w:pPr>
        <w:tabs>
          <w:tab w:val="num" w:pos="2084"/>
        </w:tabs>
        <w:ind w:left="2084" w:hanging="360"/>
      </w:pPr>
      <w:rPr>
        <w:rFonts w:ascii="Arial" w:hAnsi="Arial" w:hint="default"/>
      </w:rPr>
    </w:lvl>
    <w:lvl w:ilvl="3" w:tplc="AEF68B8A" w:tentative="1">
      <w:start w:val="1"/>
      <w:numFmt w:val="bullet"/>
      <w:lvlText w:val="-"/>
      <w:lvlJc w:val="left"/>
      <w:pPr>
        <w:tabs>
          <w:tab w:val="num" w:pos="2804"/>
        </w:tabs>
        <w:ind w:left="2804" w:hanging="360"/>
      </w:pPr>
      <w:rPr>
        <w:rFonts w:ascii="Lucida Grande" w:hAnsi="Lucida Grande" w:hint="default"/>
      </w:rPr>
    </w:lvl>
    <w:lvl w:ilvl="4" w:tplc="B1522256" w:tentative="1">
      <w:start w:val="1"/>
      <w:numFmt w:val="bullet"/>
      <w:lvlText w:val="-"/>
      <w:lvlJc w:val="left"/>
      <w:pPr>
        <w:tabs>
          <w:tab w:val="num" w:pos="3524"/>
        </w:tabs>
        <w:ind w:left="3524" w:hanging="360"/>
      </w:pPr>
      <w:rPr>
        <w:rFonts w:ascii="Lucida Grande" w:hAnsi="Lucida Grande" w:hint="default"/>
      </w:rPr>
    </w:lvl>
    <w:lvl w:ilvl="5" w:tplc="BF7A4FD8" w:tentative="1">
      <w:start w:val="1"/>
      <w:numFmt w:val="bullet"/>
      <w:lvlText w:val="-"/>
      <w:lvlJc w:val="left"/>
      <w:pPr>
        <w:tabs>
          <w:tab w:val="num" w:pos="4244"/>
        </w:tabs>
        <w:ind w:left="4244" w:hanging="360"/>
      </w:pPr>
      <w:rPr>
        <w:rFonts w:ascii="Lucida Grande" w:hAnsi="Lucida Grande" w:hint="default"/>
      </w:rPr>
    </w:lvl>
    <w:lvl w:ilvl="6" w:tplc="7BB2C92E" w:tentative="1">
      <w:start w:val="1"/>
      <w:numFmt w:val="bullet"/>
      <w:lvlText w:val="-"/>
      <w:lvlJc w:val="left"/>
      <w:pPr>
        <w:tabs>
          <w:tab w:val="num" w:pos="4964"/>
        </w:tabs>
        <w:ind w:left="4964" w:hanging="360"/>
      </w:pPr>
      <w:rPr>
        <w:rFonts w:ascii="Lucida Grande" w:hAnsi="Lucida Grande" w:hint="default"/>
      </w:rPr>
    </w:lvl>
    <w:lvl w:ilvl="7" w:tplc="9E6C40B4" w:tentative="1">
      <w:start w:val="1"/>
      <w:numFmt w:val="bullet"/>
      <w:lvlText w:val="-"/>
      <w:lvlJc w:val="left"/>
      <w:pPr>
        <w:tabs>
          <w:tab w:val="num" w:pos="5684"/>
        </w:tabs>
        <w:ind w:left="5684" w:hanging="360"/>
      </w:pPr>
      <w:rPr>
        <w:rFonts w:ascii="Lucida Grande" w:hAnsi="Lucida Grande" w:hint="default"/>
      </w:rPr>
    </w:lvl>
    <w:lvl w:ilvl="8" w:tplc="8BAE2FF6" w:tentative="1">
      <w:start w:val="1"/>
      <w:numFmt w:val="bullet"/>
      <w:lvlText w:val="-"/>
      <w:lvlJc w:val="left"/>
      <w:pPr>
        <w:tabs>
          <w:tab w:val="num" w:pos="6404"/>
        </w:tabs>
        <w:ind w:left="6404" w:hanging="360"/>
      </w:pPr>
      <w:rPr>
        <w:rFonts w:ascii="Lucida Grande" w:hAnsi="Lucida Grande" w:hint="default"/>
      </w:rPr>
    </w:lvl>
  </w:abstractNum>
  <w:abstractNum w:abstractNumId="5" w15:restartNumberingAfterBreak="0">
    <w:nsid w:val="0A3836E6"/>
    <w:multiLevelType w:val="hybridMultilevel"/>
    <w:tmpl w:val="566CE33E"/>
    <w:lvl w:ilvl="0" w:tplc="B57607E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D47366B"/>
    <w:multiLevelType w:val="hybridMultilevel"/>
    <w:tmpl w:val="ED44E994"/>
    <w:lvl w:ilvl="0" w:tplc="39246826">
      <w:start w:val="3"/>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2DA13CB"/>
    <w:multiLevelType w:val="hybridMultilevel"/>
    <w:tmpl w:val="10165BA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9E756D8"/>
    <w:multiLevelType w:val="hybridMultilevel"/>
    <w:tmpl w:val="E6FCFCBE"/>
    <w:lvl w:ilvl="0" w:tplc="04090001">
      <w:start w:val="1"/>
      <w:numFmt w:val="bullet"/>
      <w:lvlText w:val=""/>
      <w:lvlJc w:val="left"/>
      <w:pPr>
        <w:tabs>
          <w:tab w:val="num" w:pos="720"/>
        </w:tabs>
        <w:ind w:left="720" w:hanging="360"/>
      </w:pPr>
      <w:rPr>
        <w:rFonts w:ascii="Symbol" w:hAnsi="Symbol" w:hint="default"/>
      </w:rPr>
    </w:lvl>
    <w:lvl w:ilvl="1" w:tplc="9066168A">
      <w:numFmt w:val="bullet"/>
      <w:lvlText w:val="o"/>
      <w:lvlJc w:val="left"/>
      <w:pPr>
        <w:tabs>
          <w:tab w:val="num" w:pos="1440"/>
        </w:tabs>
        <w:ind w:left="1440" w:hanging="360"/>
      </w:pPr>
      <w:rPr>
        <w:rFonts w:ascii="Courier New" w:hAnsi="Courier New" w:hint="default"/>
      </w:rPr>
    </w:lvl>
    <w:lvl w:ilvl="2" w:tplc="2A1A6D0A" w:tentative="1">
      <w:start w:val="1"/>
      <w:numFmt w:val="decimal"/>
      <w:lvlText w:val="%3."/>
      <w:lvlJc w:val="left"/>
      <w:pPr>
        <w:tabs>
          <w:tab w:val="num" w:pos="2160"/>
        </w:tabs>
        <w:ind w:left="2160" w:hanging="360"/>
      </w:pPr>
    </w:lvl>
    <w:lvl w:ilvl="3" w:tplc="7B7CE05C" w:tentative="1">
      <w:start w:val="1"/>
      <w:numFmt w:val="decimal"/>
      <w:lvlText w:val="%4."/>
      <w:lvlJc w:val="left"/>
      <w:pPr>
        <w:tabs>
          <w:tab w:val="num" w:pos="2880"/>
        </w:tabs>
        <w:ind w:left="2880" w:hanging="360"/>
      </w:pPr>
    </w:lvl>
    <w:lvl w:ilvl="4" w:tplc="C4324A30" w:tentative="1">
      <w:start w:val="1"/>
      <w:numFmt w:val="decimal"/>
      <w:lvlText w:val="%5."/>
      <w:lvlJc w:val="left"/>
      <w:pPr>
        <w:tabs>
          <w:tab w:val="num" w:pos="3600"/>
        </w:tabs>
        <w:ind w:left="3600" w:hanging="360"/>
      </w:pPr>
    </w:lvl>
    <w:lvl w:ilvl="5" w:tplc="6EB80414" w:tentative="1">
      <w:start w:val="1"/>
      <w:numFmt w:val="decimal"/>
      <w:lvlText w:val="%6."/>
      <w:lvlJc w:val="left"/>
      <w:pPr>
        <w:tabs>
          <w:tab w:val="num" w:pos="4320"/>
        </w:tabs>
        <w:ind w:left="4320" w:hanging="360"/>
      </w:pPr>
    </w:lvl>
    <w:lvl w:ilvl="6" w:tplc="C9A8B8FA" w:tentative="1">
      <w:start w:val="1"/>
      <w:numFmt w:val="decimal"/>
      <w:lvlText w:val="%7."/>
      <w:lvlJc w:val="left"/>
      <w:pPr>
        <w:tabs>
          <w:tab w:val="num" w:pos="5040"/>
        </w:tabs>
        <w:ind w:left="5040" w:hanging="360"/>
      </w:pPr>
    </w:lvl>
    <w:lvl w:ilvl="7" w:tplc="EED4BB96" w:tentative="1">
      <w:start w:val="1"/>
      <w:numFmt w:val="decimal"/>
      <w:lvlText w:val="%8."/>
      <w:lvlJc w:val="left"/>
      <w:pPr>
        <w:tabs>
          <w:tab w:val="num" w:pos="5760"/>
        </w:tabs>
        <w:ind w:left="5760" w:hanging="360"/>
      </w:pPr>
    </w:lvl>
    <w:lvl w:ilvl="8" w:tplc="E06C192A" w:tentative="1">
      <w:start w:val="1"/>
      <w:numFmt w:val="decimal"/>
      <w:lvlText w:val="%9."/>
      <w:lvlJc w:val="left"/>
      <w:pPr>
        <w:tabs>
          <w:tab w:val="num" w:pos="6480"/>
        </w:tabs>
        <w:ind w:left="6480" w:hanging="360"/>
      </w:pPr>
    </w:lvl>
  </w:abstractNum>
  <w:abstractNum w:abstractNumId="11" w15:restartNumberingAfterBreak="0">
    <w:nsid w:val="4ACA69BF"/>
    <w:multiLevelType w:val="hybridMultilevel"/>
    <w:tmpl w:val="F94EB448"/>
    <w:lvl w:ilvl="0" w:tplc="FA5AFF9E">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881E6D"/>
    <w:multiLevelType w:val="hybridMultilevel"/>
    <w:tmpl w:val="BE567E56"/>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3" w15:restartNumberingAfterBreak="0">
    <w:nsid w:val="56164AC9"/>
    <w:multiLevelType w:val="hybridMultilevel"/>
    <w:tmpl w:val="8ECEDA46"/>
    <w:lvl w:ilvl="0" w:tplc="383CE7B4">
      <w:start w:val="2"/>
      <w:numFmt w:val="bullet"/>
      <w:lvlText w:val="-"/>
      <w:lvlJc w:val="left"/>
      <w:pPr>
        <w:ind w:left="720" w:hanging="360"/>
      </w:pPr>
      <w:rPr>
        <w:rFonts w:ascii="Times New Roman" w:eastAsia="Times New Roman" w:hAnsi="Times New Roman" w:cs="Times New Roman" w:hint="default"/>
        <w:lang w:val="en-GB"/>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73E36E8"/>
    <w:multiLevelType w:val="hybridMultilevel"/>
    <w:tmpl w:val="6C22DF9E"/>
    <w:lvl w:ilvl="0" w:tplc="3C2481FE">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B20037C"/>
    <w:multiLevelType w:val="hybridMultilevel"/>
    <w:tmpl w:val="D124CFC4"/>
    <w:lvl w:ilvl="0" w:tplc="04090019">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47613B6"/>
    <w:multiLevelType w:val="hybridMultilevel"/>
    <w:tmpl w:val="43F2172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85F28BE"/>
    <w:multiLevelType w:val="hybridMultilevel"/>
    <w:tmpl w:val="53AC49EE"/>
    <w:lvl w:ilvl="0" w:tplc="91328D16">
      <w:start w:val="1"/>
      <w:numFmt w:val="bullet"/>
      <w:lvlText w:val="•"/>
      <w:lvlJc w:val="left"/>
      <w:pPr>
        <w:tabs>
          <w:tab w:val="num" w:pos="720"/>
        </w:tabs>
        <w:ind w:left="720" w:hanging="360"/>
      </w:pPr>
      <w:rPr>
        <w:rFonts w:ascii="Arial" w:hAnsi="Arial" w:hint="default"/>
      </w:rPr>
    </w:lvl>
    <w:lvl w:ilvl="1" w:tplc="16A29390">
      <w:start w:val="1"/>
      <w:numFmt w:val="bullet"/>
      <w:lvlText w:val="•"/>
      <w:lvlJc w:val="left"/>
      <w:pPr>
        <w:tabs>
          <w:tab w:val="num" w:pos="1440"/>
        </w:tabs>
        <w:ind w:left="1440" w:hanging="360"/>
      </w:pPr>
      <w:rPr>
        <w:rFonts w:ascii="Arial" w:hAnsi="Arial" w:hint="default"/>
      </w:rPr>
    </w:lvl>
    <w:lvl w:ilvl="2" w:tplc="AA02C29E" w:tentative="1">
      <w:start w:val="1"/>
      <w:numFmt w:val="bullet"/>
      <w:lvlText w:val="•"/>
      <w:lvlJc w:val="left"/>
      <w:pPr>
        <w:tabs>
          <w:tab w:val="num" w:pos="2160"/>
        </w:tabs>
        <w:ind w:left="2160" w:hanging="360"/>
      </w:pPr>
      <w:rPr>
        <w:rFonts w:ascii="Arial" w:hAnsi="Arial" w:hint="default"/>
      </w:rPr>
    </w:lvl>
    <w:lvl w:ilvl="3" w:tplc="AF8ABBA4" w:tentative="1">
      <w:start w:val="1"/>
      <w:numFmt w:val="bullet"/>
      <w:lvlText w:val="•"/>
      <w:lvlJc w:val="left"/>
      <w:pPr>
        <w:tabs>
          <w:tab w:val="num" w:pos="2880"/>
        </w:tabs>
        <w:ind w:left="2880" w:hanging="360"/>
      </w:pPr>
      <w:rPr>
        <w:rFonts w:ascii="Arial" w:hAnsi="Arial" w:hint="default"/>
      </w:rPr>
    </w:lvl>
    <w:lvl w:ilvl="4" w:tplc="FD80B70E" w:tentative="1">
      <w:start w:val="1"/>
      <w:numFmt w:val="bullet"/>
      <w:lvlText w:val="•"/>
      <w:lvlJc w:val="left"/>
      <w:pPr>
        <w:tabs>
          <w:tab w:val="num" w:pos="3600"/>
        </w:tabs>
        <w:ind w:left="3600" w:hanging="360"/>
      </w:pPr>
      <w:rPr>
        <w:rFonts w:ascii="Arial" w:hAnsi="Arial" w:hint="default"/>
      </w:rPr>
    </w:lvl>
    <w:lvl w:ilvl="5" w:tplc="26144B2A" w:tentative="1">
      <w:start w:val="1"/>
      <w:numFmt w:val="bullet"/>
      <w:lvlText w:val="•"/>
      <w:lvlJc w:val="left"/>
      <w:pPr>
        <w:tabs>
          <w:tab w:val="num" w:pos="4320"/>
        </w:tabs>
        <w:ind w:left="4320" w:hanging="360"/>
      </w:pPr>
      <w:rPr>
        <w:rFonts w:ascii="Arial" w:hAnsi="Arial" w:hint="default"/>
      </w:rPr>
    </w:lvl>
    <w:lvl w:ilvl="6" w:tplc="00DC724A" w:tentative="1">
      <w:start w:val="1"/>
      <w:numFmt w:val="bullet"/>
      <w:lvlText w:val="•"/>
      <w:lvlJc w:val="left"/>
      <w:pPr>
        <w:tabs>
          <w:tab w:val="num" w:pos="5040"/>
        </w:tabs>
        <w:ind w:left="5040" w:hanging="360"/>
      </w:pPr>
      <w:rPr>
        <w:rFonts w:ascii="Arial" w:hAnsi="Arial" w:hint="default"/>
      </w:rPr>
    </w:lvl>
    <w:lvl w:ilvl="7" w:tplc="04743274" w:tentative="1">
      <w:start w:val="1"/>
      <w:numFmt w:val="bullet"/>
      <w:lvlText w:val="•"/>
      <w:lvlJc w:val="left"/>
      <w:pPr>
        <w:tabs>
          <w:tab w:val="num" w:pos="5760"/>
        </w:tabs>
        <w:ind w:left="5760" w:hanging="360"/>
      </w:pPr>
      <w:rPr>
        <w:rFonts w:ascii="Arial" w:hAnsi="Arial" w:hint="default"/>
      </w:rPr>
    </w:lvl>
    <w:lvl w:ilvl="8" w:tplc="DB70EA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3D61D7"/>
    <w:multiLevelType w:val="hybridMultilevel"/>
    <w:tmpl w:val="9CA4DBE8"/>
    <w:lvl w:ilvl="0" w:tplc="0409000F">
      <w:start w:val="1"/>
      <w:numFmt w:val="decimal"/>
      <w:lvlText w:val="%1."/>
      <w:lvlJc w:val="left"/>
      <w:pPr>
        <w:ind w:left="644" w:hanging="360"/>
      </w:p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6"/>
  </w:num>
  <w:num w:numId="7">
    <w:abstractNumId w:val="7"/>
  </w:num>
  <w:num w:numId="8">
    <w:abstractNumId w:val="4"/>
  </w:num>
  <w:num w:numId="9">
    <w:abstractNumId w:val="2"/>
  </w:num>
  <w:num w:numId="10">
    <w:abstractNumId w:val="18"/>
  </w:num>
  <w:num w:numId="11">
    <w:abstractNumId w:val="15"/>
  </w:num>
  <w:num w:numId="12">
    <w:abstractNumId w:val="14"/>
  </w:num>
  <w:num w:numId="13">
    <w:abstractNumId w:val="9"/>
  </w:num>
  <w:num w:numId="14">
    <w:abstractNumId w:val="5"/>
  </w:num>
  <w:num w:numId="15">
    <w:abstractNumId w:val="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1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21E"/>
    <w:rsid w:val="00033397"/>
    <w:rsid w:val="00040095"/>
    <w:rsid w:val="00080512"/>
    <w:rsid w:val="00090468"/>
    <w:rsid w:val="00097432"/>
    <w:rsid w:val="000B7BCF"/>
    <w:rsid w:val="000C522B"/>
    <w:rsid w:val="000D58AB"/>
    <w:rsid w:val="00111F50"/>
    <w:rsid w:val="001741A0"/>
    <w:rsid w:val="00194CD0"/>
    <w:rsid w:val="001B49C9"/>
    <w:rsid w:val="001B7BE6"/>
    <w:rsid w:val="001F168B"/>
    <w:rsid w:val="001F7831"/>
    <w:rsid w:val="00204045"/>
    <w:rsid w:val="0022606D"/>
    <w:rsid w:val="002747EC"/>
    <w:rsid w:val="00275CEF"/>
    <w:rsid w:val="002855BF"/>
    <w:rsid w:val="002E5B14"/>
    <w:rsid w:val="002F0D22"/>
    <w:rsid w:val="003172DC"/>
    <w:rsid w:val="00326069"/>
    <w:rsid w:val="0035462D"/>
    <w:rsid w:val="00367DA3"/>
    <w:rsid w:val="00382672"/>
    <w:rsid w:val="00396F5D"/>
    <w:rsid w:val="003B2837"/>
    <w:rsid w:val="003B40AD"/>
    <w:rsid w:val="003C4E37"/>
    <w:rsid w:val="003E16BE"/>
    <w:rsid w:val="003E5930"/>
    <w:rsid w:val="0040007F"/>
    <w:rsid w:val="00401855"/>
    <w:rsid w:val="00427F7E"/>
    <w:rsid w:val="00477455"/>
    <w:rsid w:val="004815D9"/>
    <w:rsid w:val="004A06DB"/>
    <w:rsid w:val="004D3578"/>
    <w:rsid w:val="004D380D"/>
    <w:rsid w:val="004E213A"/>
    <w:rsid w:val="00503171"/>
    <w:rsid w:val="00506C28"/>
    <w:rsid w:val="00520703"/>
    <w:rsid w:val="00534DA0"/>
    <w:rsid w:val="00537844"/>
    <w:rsid w:val="00543E6C"/>
    <w:rsid w:val="00565087"/>
    <w:rsid w:val="0056573F"/>
    <w:rsid w:val="00587215"/>
    <w:rsid w:val="005A574A"/>
    <w:rsid w:val="00611566"/>
    <w:rsid w:val="00646D99"/>
    <w:rsid w:val="006477A2"/>
    <w:rsid w:val="00647E69"/>
    <w:rsid w:val="00656910"/>
    <w:rsid w:val="006C66D8"/>
    <w:rsid w:val="006D1E24"/>
    <w:rsid w:val="006D4253"/>
    <w:rsid w:val="006E1417"/>
    <w:rsid w:val="006F6A2C"/>
    <w:rsid w:val="00734A5B"/>
    <w:rsid w:val="00744E76"/>
    <w:rsid w:val="00757D40"/>
    <w:rsid w:val="007649B5"/>
    <w:rsid w:val="007672B4"/>
    <w:rsid w:val="00775A53"/>
    <w:rsid w:val="00781F0F"/>
    <w:rsid w:val="00783477"/>
    <w:rsid w:val="0078443F"/>
    <w:rsid w:val="0078727C"/>
    <w:rsid w:val="0079049D"/>
    <w:rsid w:val="007B18D8"/>
    <w:rsid w:val="007C095F"/>
    <w:rsid w:val="007D01A0"/>
    <w:rsid w:val="007D70BD"/>
    <w:rsid w:val="007E0741"/>
    <w:rsid w:val="007F115C"/>
    <w:rsid w:val="008028A4"/>
    <w:rsid w:val="008276CA"/>
    <w:rsid w:val="00833545"/>
    <w:rsid w:val="00851D3D"/>
    <w:rsid w:val="00873244"/>
    <w:rsid w:val="008768CA"/>
    <w:rsid w:val="00877EF9"/>
    <w:rsid w:val="00880559"/>
    <w:rsid w:val="008B5306"/>
    <w:rsid w:val="008E75C7"/>
    <w:rsid w:val="008F78CA"/>
    <w:rsid w:val="008F7FDA"/>
    <w:rsid w:val="0090271F"/>
    <w:rsid w:val="00902DB9"/>
    <w:rsid w:val="0090466A"/>
    <w:rsid w:val="00912285"/>
    <w:rsid w:val="00936071"/>
    <w:rsid w:val="00942EC2"/>
    <w:rsid w:val="00961B32"/>
    <w:rsid w:val="00974BB0"/>
    <w:rsid w:val="009833E6"/>
    <w:rsid w:val="00986AFF"/>
    <w:rsid w:val="009A0AF3"/>
    <w:rsid w:val="009B07CD"/>
    <w:rsid w:val="009B2080"/>
    <w:rsid w:val="009B3009"/>
    <w:rsid w:val="009C19E9"/>
    <w:rsid w:val="009D4EAC"/>
    <w:rsid w:val="009F52EB"/>
    <w:rsid w:val="00A03AD3"/>
    <w:rsid w:val="00A10F02"/>
    <w:rsid w:val="00A204CA"/>
    <w:rsid w:val="00A23A23"/>
    <w:rsid w:val="00A52F07"/>
    <w:rsid w:val="00A53724"/>
    <w:rsid w:val="00A65E27"/>
    <w:rsid w:val="00A82346"/>
    <w:rsid w:val="00A95084"/>
    <w:rsid w:val="00A9671C"/>
    <w:rsid w:val="00AA1553"/>
    <w:rsid w:val="00B15449"/>
    <w:rsid w:val="00B46A0D"/>
    <w:rsid w:val="00B47FD1"/>
    <w:rsid w:val="00BD5FBD"/>
    <w:rsid w:val="00BF6C9F"/>
    <w:rsid w:val="00C10878"/>
    <w:rsid w:val="00C12B51"/>
    <w:rsid w:val="00C21C3D"/>
    <w:rsid w:val="00C24650"/>
    <w:rsid w:val="00C33079"/>
    <w:rsid w:val="00C7474F"/>
    <w:rsid w:val="00C83A13"/>
    <w:rsid w:val="00C852AB"/>
    <w:rsid w:val="00C92967"/>
    <w:rsid w:val="00CA3D0C"/>
    <w:rsid w:val="00CA654B"/>
    <w:rsid w:val="00CB3880"/>
    <w:rsid w:val="00CC38B4"/>
    <w:rsid w:val="00CD4C7B"/>
    <w:rsid w:val="00CD67F4"/>
    <w:rsid w:val="00D70BCA"/>
    <w:rsid w:val="00D738D6"/>
    <w:rsid w:val="00D80795"/>
    <w:rsid w:val="00D87E00"/>
    <w:rsid w:val="00D9134D"/>
    <w:rsid w:val="00D96D11"/>
    <w:rsid w:val="00DA7A03"/>
    <w:rsid w:val="00DB1818"/>
    <w:rsid w:val="00DC309B"/>
    <w:rsid w:val="00DC4DA2"/>
    <w:rsid w:val="00E02F06"/>
    <w:rsid w:val="00E0666C"/>
    <w:rsid w:val="00E114A0"/>
    <w:rsid w:val="00E13F9E"/>
    <w:rsid w:val="00E62835"/>
    <w:rsid w:val="00E77645"/>
    <w:rsid w:val="00E83697"/>
    <w:rsid w:val="00EB38CD"/>
    <w:rsid w:val="00EC4A25"/>
    <w:rsid w:val="00ED53E5"/>
    <w:rsid w:val="00ED5CCF"/>
    <w:rsid w:val="00F025A2"/>
    <w:rsid w:val="00F07388"/>
    <w:rsid w:val="00F2026E"/>
    <w:rsid w:val="00F2210A"/>
    <w:rsid w:val="00F37743"/>
    <w:rsid w:val="00F54A3D"/>
    <w:rsid w:val="00F653B8"/>
    <w:rsid w:val="00F71B89"/>
    <w:rsid w:val="00F7353C"/>
    <w:rsid w:val="00F76F8F"/>
    <w:rsid w:val="00FA1266"/>
    <w:rsid w:val="00FB6750"/>
    <w:rsid w:val="00FC1192"/>
    <w:rsid w:val="00FE1EC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5EDA9"/>
  <w15:chartTrackingRefBased/>
  <w15:docId w15:val="{EE8F023D-3E3E-495A-930F-72AC81A3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character" w:styleId="Hyperlink">
    <w:name w:val="Hyperlink"/>
    <w:uiPriority w:val="99"/>
    <w:rsid w:val="0056573F"/>
    <w:rPr>
      <w:color w:val="0000FF"/>
      <w:u w:val="single"/>
    </w:rPr>
  </w:style>
  <w:style w:type="paragraph" w:customStyle="1" w:styleId="Doc-title">
    <w:name w:val="Doc-title"/>
    <w:basedOn w:val="Normal"/>
    <w:next w:val="Doc-text2"/>
    <w:link w:val="Doc-titleChar"/>
    <w:qFormat/>
    <w:rsid w:val="001B7BE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B7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B7BE6"/>
    <w:rPr>
      <w:rFonts w:ascii="Arial" w:eastAsia="MS Mincho" w:hAnsi="Arial"/>
      <w:szCs w:val="24"/>
    </w:rPr>
  </w:style>
  <w:style w:type="character" w:customStyle="1" w:styleId="Doc-titleChar">
    <w:name w:val="Doc-title Char"/>
    <w:link w:val="Doc-title"/>
    <w:rsid w:val="001B7BE6"/>
    <w:rPr>
      <w:rFonts w:ascii="Arial" w:eastAsia="MS Mincho" w:hAnsi="Arial"/>
      <w:noProof/>
      <w:szCs w:val="24"/>
    </w:rPr>
  </w:style>
  <w:style w:type="paragraph" w:customStyle="1" w:styleId="Comments">
    <w:name w:val="Comments"/>
    <w:basedOn w:val="Normal"/>
    <w:link w:val="CommentsChar"/>
    <w:qFormat/>
    <w:rsid w:val="001B7BE6"/>
    <w:pPr>
      <w:spacing w:before="40" w:after="0"/>
    </w:pPr>
    <w:rPr>
      <w:rFonts w:ascii="Arial" w:eastAsia="MS Mincho" w:hAnsi="Arial"/>
      <w:i/>
      <w:noProof/>
      <w:sz w:val="18"/>
      <w:szCs w:val="24"/>
      <w:lang w:eastAsia="en-GB"/>
    </w:rPr>
  </w:style>
  <w:style w:type="character" w:customStyle="1" w:styleId="CommentsChar">
    <w:name w:val="Comments Char"/>
    <w:link w:val="Comments"/>
    <w:rsid w:val="001B7BE6"/>
    <w:rPr>
      <w:rFonts w:ascii="Arial" w:eastAsia="MS Mincho" w:hAnsi="Arial"/>
      <w:i/>
      <w:noProof/>
      <w:sz w:val="18"/>
      <w:szCs w:val="24"/>
    </w:rPr>
  </w:style>
  <w:style w:type="table" w:styleId="TableGrid">
    <w:name w:val="Table Grid"/>
    <w:basedOn w:val="TableNormal"/>
    <w:rsid w:val="001B7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7E69"/>
    <w:pPr>
      <w:ind w:left="720"/>
      <w:contextualSpacing/>
    </w:pPr>
  </w:style>
  <w:style w:type="character" w:customStyle="1" w:styleId="PLChar">
    <w:name w:val="PL Char"/>
    <w:link w:val="PL"/>
    <w:rsid w:val="00A65E27"/>
    <w:rPr>
      <w:rFonts w:ascii="Courier New" w:hAnsi="Courier New"/>
      <w:noProof/>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02F06"/>
    <w:rPr>
      <w:rFonts w:ascii="Arial" w:hAnsi="Arial"/>
      <w:sz w:val="24"/>
      <w:lang w:eastAsia="en-US"/>
    </w:rPr>
  </w:style>
  <w:style w:type="character" w:customStyle="1" w:styleId="B1Char1">
    <w:name w:val="B1 Char1"/>
    <w:link w:val="B1"/>
    <w:rsid w:val="00E02F06"/>
    <w:rPr>
      <w:lang w:eastAsia="en-US"/>
    </w:rPr>
  </w:style>
  <w:style w:type="character" w:customStyle="1" w:styleId="B2Char">
    <w:name w:val="B2 Char"/>
    <w:link w:val="B2"/>
    <w:rsid w:val="00E02F06"/>
    <w:rPr>
      <w:lang w:eastAsia="en-US"/>
    </w:rPr>
  </w:style>
  <w:style w:type="paragraph" w:styleId="BalloonText">
    <w:name w:val="Balloon Text"/>
    <w:basedOn w:val="Normal"/>
    <w:link w:val="BalloonTextChar"/>
    <w:rsid w:val="00BD5FBD"/>
    <w:pPr>
      <w:spacing w:after="0"/>
    </w:pPr>
    <w:rPr>
      <w:rFonts w:ascii="Segoe UI" w:hAnsi="Segoe UI" w:cs="Segoe UI"/>
      <w:sz w:val="18"/>
      <w:szCs w:val="18"/>
    </w:rPr>
  </w:style>
  <w:style w:type="character" w:customStyle="1" w:styleId="BalloonTextChar">
    <w:name w:val="Balloon Text Char"/>
    <w:basedOn w:val="DefaultParagraphFont"/>
    <w:link w:val="BalloonText"/>
    <w:rsid w:val="00BD5FBD"/>
    <w:rPr>
      <w:rFonts w:ascii="Segoe UI" w:hAnsi="Segoe UI" w:cs="Segoe UI"/>
      <w:sz w:val="18"/>
      <w:szCs w:val="18"/>
      <w:lang w:val="en-GB" w:eastAsia="en-US"/>
    </w:rPr>
  </w:style>
  <w:style w:type="paragraph" w:styleId="Caption">
    <w:name w:val="caption"/>
    <w:basedOn w:val="Normal"/>
    <w:next w:val="Normal"/>
    <w:unhideWhenUsed/>
    <w:qFormat/>
    <w:rsid w:val="00537844"/>
    <w:pPr>
      <w:spacing w:after="200"/>
    </w:pPr>
    <w:rPr>
      <w:i/>
      <w:iCs/>
      <w:color w:val="44546A" w:themeColor="text2"/>
      <w:sz w:val="18"/>
      <w:szCs w:val="18"/>
    </w:rPr>
  </w:style>
  <w:style w:type="character" w:styleId="FollowedHyperlink">
    <w:name w:val="FollowedHyperlink"/>
    <w:basedOn w:val="DefaultParagraphFont"/>
    <w:rsid w:val="009D4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00207">
      <w:bodyDiv w:val="1"/>
      <w:marLeft w:val="0"/>
      <w:marRight w:val="0"/>
      <w:marTop w:val="0"/>
      <w:marBottom w:val="0"/>
      <w:divBdr>
        <w:top w:val="none" w:sz="0" w:space="0" w:color="auto"/>
        <w:left w:val="none" w:sz="0" w:space="0" w:color="auto"/>
        <w:bottom w:val="none" w:sz="0" w:space="0" w:color="auto"/>
        <w:right w:val="none" w:sz="0" w:space="0" w:color="auto"/>
      </w:divBdr>
    </w:div>
    <w:div w:id="1105928712">
      <w:bodyDiv w:val="1"/>
      <w:marLeft w:val="0"/>
      <w:marRight w:val="0"/>
      <w:marTop w:val="0"/>
      <w:marBottom w:val="0"/>
      <w:divBdr>
        <w:top w:val="none" w:sz="0" w:space="0" w:color="auto"/>
        <w:left w:val="none" w:sz="0" w:space="0" w:color="auto"/>
        <w:bottom w:val="none" w:sz="0" w:space="0" w:color="auto"/>
        <w:right w:val="none" w:sz="0" w:space="0" w:color="auto"/>
      </w:divBdr>
      <w:divsChild>
        <w:div w:id="632292094">
          <w:marLeft w:val="1080"/>
          <w:marRight w:val="0"/>
          <w:marTop w:val="0"/>
          <w:marBottom w:val="60"/>
          <w:divBdr>
            <w:top w:val="none" w:sz="0" w:space="0" w:color="auto"/>
            <w:left w:val="none" w:sz="0" w:space="0" w:color="auto"/>
            <w:bottom w:val="none" w:sz="0" w:space="0" w:color="auto"/>
            <w:right w:val="none" w:sz="0" w:space="0" w:color="auto"/>
          </w:divBdr>
        </w:div>
        <w:div w:id="1045368469">
          <w:marLeft w:val="1080"/>
          <w:marRight w:val="0"/>
          <w:marTop w:val="0"/>
          <w:marBottom w:val="60"/>
          <w:divBdr>
            <w:top w:val="none" w:sz="0" w:space="0" w:color="auto"/>
            <w:left w:val="none" w:sz="0" w:space="0" w:color="auto"/>
            <w:bottom w:val="none" w:sz="0" w:space="0" w:color="auto"/>
            <w:right w:val="none" w:sz="0" w:space="0" w:color="auto"/>
          </w:divBdr>
        </w:div>
        <w:div w:id="1623344481">
          <w:marLeft w:val="720"/>
          <w:marRight w:val="0"/>
          <w:marTop w:val="0"/>
          <w:marBottom w:val="60"/>
          <w:divBdr>
            <w:top w:val="none" w:sz="0" w:space="0" w:color="auto"/>
            <w:left w:val="none" w:sz="0" w:space="0" w:color="auto"/>
            <w:bottom w:val="none" w:sz="0" w:space="0" w:color="auto"/>
            <w:right w:val="none" w:sz="0" w:space="0" w:color="auto"/>
          </w:divBdr>
        </w:div>
      </w:divsChild>
    </w:div>
    <w:div w:id="1418360545">
      <w:bodyDiv w:val="1"/>
      <w:marLeft w:val="0"/>
      <w:marRight w:val="0"/>
      <w:marTop w:val="0"/>
      <w:marBottom w:val="0"/>
      <w:divBdr>
        <w:top w:val="none" w:sz="0" w:space="0" w:color="auto"/>
        <w:left w:val="none" w:sz="0" w:space="0" w:color="auto"/>
        <w:bottom w:val="none" w:sz="0" w:space="0" w:color="auto"/>
        <w:right w:val="none" w:sz="0" w:space="0" w:color="auto"/>
      </w:divBdr>
    </w:div>
    <w:div w:id="1552383861">
      <w:bodyDiv w:val="1"/>
      <w:marLeft w:val="0"/>
      <w:marRight w:val="0"/>
      <w:marTop w:val="0"/>
      <w:marBottom w:val="0"/>
      <w:divBdr>
        <w:top w:val="none" w:sz="0" w:space="0" w:color="auto"/>
        <w:left w:val="none" w:sz="0" w:space="0" w:color="auto"/>
        <w:bottom w:val="none" w:sz="0" w:space="0" w:color="auto"/>
        <w:right w:val="none" w:sz="0" w:space="0" w:color="auto"/>
      </w:divBdr>
      <w:divsChild>
        <w:div w:id="724259027">
          <w:marLeft w:val="1166"/>
          <w:marRight w:val="0"/>
          <w:marTop w:val="0"/>
          <w:marBottom w:val="120"/>
          <w:divBdr>
            <w:top w:val="none" w:sz="0" w:space="0" w:color="auto"/>
            <w:left w:val="none" w:sz="0" w:space="0" w:color="auto"/>
            <w:bottom w:val="none" w:sz="0" w:space="0" w:color="auto"/>
            <w:right w:val="none" w:sz="0" w:space="0" w:color="auto"/>
          </w:divBdr>
        </w:div>
        <w:div w:id="1113400145">
          <w:marLeft w:val="1166"/>
          <w:marRight w:val="0"/>
          <w:marTop w:val="0"/>
          <w:marBottom w:val="120"/>
          <w:divBdr>
            <w:top w:val="none" w:sz="0" w:space="0" w:color="auto"/>
            <w:left w:val="none" w:sz="0" w:space="0" w:color="auto"/>
            <w:bottom w:val="none" w:sz="0" w:space="0" w:color="auto"/>
            <w:right w:val="none" w:sz="0" w:space="0" w:color="auto"/>
          </w:divBdr>
        </w:div>
        <w:div w:id="940066653">
          <w:marLeft w:val="1166"/>
          <w:marRight w:val="0"/>
          <w:marTop w:val="0"/>
          <w:marBottom w:val="120"/>
          <w:divBdr>
            <w:top w:val="none" w:sz="0" w:space="0" w:color="auto"/>
            <w:left w:val="none" w:sz="0" w:space="0" w:color="auto"/>
            <w:bottom w:val="none" w:sz="0" w:space="0" w:color="auto"/>
            <w:right w:val="none" w:sz="0" w:space="0" w:color="auto"/>
          </w:divBdr>
        </w:div>
      </w:divsChild>
    </w:div>
    <w:div w:id="18744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3gpp.org/ftp/tsg_ran/WG2_RL2/TSGR2_97/Docs/R2-1700825.zip"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75/Docs/RP-170531.zi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3gpp.org/ftp/tsg_ran/TSG_RAN/TSGR_75/Docs/RP-1705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DynaReport/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B8EF9D7B1BAE4D8457C3E7365CC288" ma:contentTypeVersion="0" ma:contentTypeDescription="Create a new document." ma:contentTypeScope="" ma:versionID="4e29d3951a88947001ecbf966f49fefa">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73DC2-CCB4-4132-B352-D6DECA572C2F}">
  <ds:schemaRefs>
    <ds:schemaRef ds:uri="http://schemas.microsoft.com/sharepoint/v3/contenttype/forms"/>
  </ds:schemaRefs>
</ds:datastoreItem>
</file>

<file path=customXml/itemProps2.xml><?xml version="1.0" encoding="utf-8"?>
<ds:datastoreItem xmlns:ds="http://schemas.openxmlformats.org/officeDocument/2006/customXml" ds:itemID="{779F548C-B8B1-48F8-B64A-B0870ADBE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BC45CEF-2F31-42D1-9980-90424E1530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7E2CDB-F2A9-439D-9B3A-F67E9208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8</Pages>
  <Words>1764</Words>
  <Characters>14290</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16022</CharactersWithSpaces>
  <SharedDoc>false</SharedDoc>
  <HyperlinkBase/>
  <HLinks>
    <vt:vector size="42" baseType="variant">
      <vt:variant>
        <vt:i4>2621447</vt:i4>
      </vt:variant>
      <vt:variant>
        <vt:i4>18</vt:i4>
      </vt:variant>
      <vt:variant>
        <vt:i4>0</vt:i4>
      </vt:variant>
      <vt:variant>
        <vt:i4>5</vt:i4>
      </vt:variant>
      <vt:variant>
        <vt:lpwstr>http://3gpp.org/ftp/tsg_ran/WG2_RL2/TSGR2_97/Docs/R2-1700990.zip</vt:lpwstr>
      </vt:variant>
      <vt:variant>
        <vt:lpwstr/>
      </vt:variant>
      <vt:variant>
        <vt:i4>2621447</vt:i4>
      </vt:variant>
      <vt:variant>
        <vt:i4>15</vt:i4>
      </vt:variant>
      <vt:variant>
        <vt:i4>0</vt:i4>
      </vt:variant>
      <vt:variant>
        <vt:i4>5</vt:i4>
      </vt:variant>
      <vt:variant>
        <vt:lpwstr>http://3gpp.org/ftp/tsg_ran/WG2_RL2/TSGR2_97/Docs/R2-1700990.zip</vt:lpwstr>
      </vt:variant>
      <vt:variant>
        <vt:lpwstr/>
      </vt:variant>
      <vt:variant>
        <vt:i4>2621447</vt:i4>
      </vt:variant>
      <vt:variant>
        <vt:i4>12</vt:i4>
      </vt:variant>
      <vt:variant>
        <vt:i4>0</vt:i4>
      </vt:variant>
      <vt:variant>
        <vt:i4>5</vt:i4>
      </vt:variant>
      <vt:variant>
        <vt:lpwstr>http://3gpp.org/ftp/tsg_ran/WG2_RL2/TSGR2_97/Docs/R2-1700990.zip</vt:lpwstr>
      </vt:variant>
      <vt:variant>
        <vt:lpwstr/>
      </vt:variant>
      <vt:variant>
        <vt:i4>4784197</vt:i4>
      </vt:variant>
      <vt:variant>
        <vt:i4>9</vt:i4>
      </vt:variant>
      <vt:variant>
        <vt:i4>0</vt:i4>
      </vt:variant>
      <vt:variant>
        <vt:i4>5</vt:i4>
      </vt:variant>
      <vt:variant>
        <vt:lpwstr>http://www.3gpp.org/DynaReport/36331.htm</vt:lpwstr>
      </vt:variant>
      <vt:variant>
        <vt:lpwstr/>
      </vt:variant>
      <vt:variant>
        <vt:i4>6160482</vt:i4>
      </vt:variant>
      <vt:variant>
        <vt:i4>6</vt:i4>
      </vt:variant>
      <vt:variant>
        <vt:i4>0</vt:i4>
      </vt:variant>
      <vt:variant>
        <vt:i4>5</vt:i4>
      </vt:variant>
      <vt:variant>
        <vt:lpwstr>C:\DATA\3GPP\RAN2\Docs\R2-167595.zip</vt:lpwstr>
      </vt:variant>
      <vt:variant>
        <vt:lpwstr/>
      </vt:variant>
      <vt:variant>
        <vt:i4>6160482</vt:i4>
      </vt:variant>
      <vt:variant>
        <vt:i4>3</vt:i4>
      </vt:variant>
      <vt:variant>
        <vt:i4>0</vt:i4>
      </vt:variant>
      <vt:variant>
        <vt:i4>5</vt:i4>
      </vt:variant>
      <vt:variant>
        <vt:lpwstr>C:\DATA\3GPP\RAN2\Docs\R2-167595.zip</vt:lpwstr>
      </vt:variant>
      <vt:variant>
        <vt:lpwstr/>
      </vt:variant>
      <vt:variant>
        <vt:i4>5898349</vt:i4>
      </vt:variant>
      <vt:variant>
        <vt:i4>0</vt:i4>
      </vt:variant>
      <vt:variant>
        <vt:i4>0</vt:i4>
      </vt:variant>
      <vt:variant>
        <vt:i4>5</vt:i4>
      </vt:variant>
      <vt:variant>
        <vt:lpwstr>C:\DATA\3GPP\RAN2\Docs\R2-166276.zip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cp:lastModifiedBy>Tero Henttonenv2</cp:lastModifiedBy>
  <cp:revision>3</cp:revision>
  <dcterms:created xsi:type="dcterms:W3CDTF">2017-02-28T13:18:00Z</dcterms:created>
  <dcterms:modified xsi:type="dcterms:W3CDTF">2017-02-28T13:20:00Z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0x0101000FB8EF9D7B1BAE4D8457C3E7365CC288</vt:lpwstr>
  </property>
</Properties>
</file>